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7551" w:rsidRDefault="005B7551">
      <w:pPr>
        <w:rPr>
          <w:rFonts w:ascii="Times New Roman" w:hAnsi="Times New Roman"/>
          <w:b/>
          <w:color w:val="333399"/>
          <w:sz w:val="44"/>
          <w:szCs w:val="44"/>
        </w:rPr>
      </w:pPr>
    </w:p>
    <w:p w:rsidR="005B7551" w:rsidRDefault="005B7551" w:rsidP="000334EE">
      <w:pPr>
        <w:ind w:firstLineChars="100" w:firstLine="440"/>
        <w:rPr>
          <w:rFonts w:ascii="Times New Roman" w:hAnsi="Times New Roman"/>
          <w:b/>
          <w:color w:val="333399"/>
          <w:sz w:val="44"/>
          <w:szCs w:val="44"/>
        </w:rPr>
      </w:pPr>
    </w:p>
    <w:p w:rsidR="005B7551" w:rsidRDefault="00252D0C">
      <w:pPr>
        <w:ind w:firstLineChars="100" w:firstLine="442"/>
        <w:rPr>
          <w:rFonts w:ascii="Times New Roman" w:hAnsi="Times New Roman"/>
          <w:b/>
          <w:color w:val="333399"/>
          <w:sz w:val="44"/>
          <w:szCs w:val="44"/>
        </w:rPr>
      </w:pPr>
      <w:r>
        <w:rPr>
          <w:rFonts w:ascii="Times New Roman" w:eastAsia="黑体" w:hAnsi="Times New Roman"/>
          <w:b/>
          <w:bCs/>
          <w:noProof/>
          <w:color w:val="auto"/>
          <w:sz w:val="44"/>
          <w:szCs w:val="44"/>
        </w:rPr>
        <w:drawing>
          <wp:anchor distT="0" distB="0" distL="114300" distR="114300" simplePos="0" relativeHeight="251662336" behindDoc="0" locked="0" layoutInCell="1" allowOverlap="1">
            <wp:simplePos x="0" y="0"/>
            <wp:positionH relativeFrom="column">
              <wp:posOffset>319405</wp:posOffset>
            </wp:positionH>
            <wp:positionV relativeFrom="paragraph">
              <wp:posOffset>175895</wp:posOffset>
            </wp:positionV>
            <wp:extent cx="929005" cy="893445"/>
            <wp:effectExtent l="0" t="0" r="10795" b="8255"/>
            <wp:wrapSquare wrapText="bothSides"/>
            <wp:docPr id="3" name="图片 4" descr="8b033dc616ee12e8505e16acb991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8b033dc616ee12e8505e16acb991300"/>
                    <pic:cNvPicPr>
                      <a:picLocks noChangeAspect="1"/>
                    </pic:cNvPicPr>
                  </pic:nvPicPr>
                  <pic:blipFill>
                    <a:blip r:embed="rId8" cstate="print"/>
                    <a:stretch>
                      <a:fillRect/>
                    </a:stretch>
                  </pic:blipFill>
                  <pic:spPr>
                    <a:xfrm>
                      <a:off x="0" y="0"/>
                      <a:ext cx="929005" cy="893445"/>
                    </a:xfrm>
                    <a:prstGeom prst="rect">
                      <a:avLst/>
                    </a:prstGeom>
                    <a:noFill/>
                    <a:ln>
                      <a:noFill/>
                    </a:ln>
                  </pic:spPr>
                </pic:pic>
              </a:graphicData>
            </a:graphic>
          </wp:anchor>
        </w:drawing>
      </w:r>
    </w:p>
    <w:p w:rsidR="005B7551" w:rsidRDefault="00252D0C">
      <w:pPr>
        <w:rPr>
          <w:rFonts w:ascii="Times New Roman" w:eastAsia="黑体" w:hAnsi="Times New Roman"/>
          <w:b/>
          <w:sz w:val="30"/>
          <w:szCs w:val="30"/>
        </w:rPr>
      </w:pPr>
      <w:r>
        <w:rPr>
          <w:rFonts w:ascii="Times New Roman" w:eastAsia="黑体" w:hAnsi="Times New Roman"/>
          <w:b/>
          <w:color w:val="333399"/>
          <w:sz w:val="30"/>
          <w:szCs w:val="30"/>
        </w:rPr>
        <w:t>辽宁省律师协会金融与保险法律专业委员会</w:t>
      </w:r>
    </w:p>
    <w:p w:rsidR="005B7551" w:rsidRDefault="00252D0C" w:rsidP="000334EE">
      <w:pPr>
        <w:spacing w:afterLines="50" w:line="360" w:lineRule="auto"/>
        <w:rPr>
          <w:rFonts w:ascii="Times New Roman" w:hAnsi="Times New Roman"/>
          <w:b/>
          <w:color w:val="333399"/>
          <w:szCs w:val="24"/>
        </w:rPr>
      </w:pPr>
      <w:r>
        <w:rPr>
          <w:rFonts w:ascii="Times New Roman" w:hAnsi="Times New Roman"/>
          <w:b/>
          <w:color w:val="333399"/>
          <w:szCs w:val="24"/>
        </w:rPr>
        <w:t xml:space="preserve"> </w:t>
      </w:r>
    </w:p>
    <w:p w:rsidR="005B7551" w:rsidRDefault="00252D0C" w:rsidP="000334EE">
      <w:pPr>
        <w:spacing w:afterLines="50" w:line="360" w:lineRule="auto"/>
        <w:rPr>
          <w:rFonts w:ascii="Times New Roman" w:hAnsi="Times New Roman"/>
          <w:b/>
          <w:color w:val="333399"/>
          <w:szCs w:val="24"/>
        </w:rPr>
      </w:pPr>
      <w:r>
        <w:rPr>
          <w:rFonts w:ascii="Times New Roman" w:hAnsi="Times New Roman"/>
          <w:b/>
          <w:noProof/>
          <w:color w:val="333399"/>
          <w:szCs w:val="24"/>
        </w:rPr>
        <w:drawing>
          <wp:anchor distT="0" distB="0" distL="114300" distR="114300" simplePos="0" relativeHeight="251661312" behindDoc="1" locked="0" layoutInCell="1" allowOverlap="1">
            <wp:simplePos x="0" y="0"/>
            <wp:positionH relativeFrom="column">
              <wp:posOffset>263525</wp:posOffset>
            </wp:positionH>
            <wp:positionV relativeFrom="paragraph">
              <wp:posOffset>27940</wp:posOffset>
            </wp:positionV>
            <wp:extent cx="1045210" cy="1104900"/>
            <wp:effectExtent l="0" t="0" r="8890" b="0"/>
            <wp:wrapTight wrapText="bothSides">
              <wp:wrapPolygon edited="0">
                <wp:start x="0" y="0"/>
                <wp:lineTo x="0" y="21352"/>
                <wp:lineTo x="21259" y="21352"/>
                <wp:lineTo x="21259" y="0"/>
                <wp:lineTo x="0" y="0"/>
              </wp:wrapPolygon>
            </wp:wrapTight>
            <wp:docPr id="1" name="图片 3" descr="d994e31e110a342b033d5f285961d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d994e31e110a342b033d5f285961dae"/>
                    <pic:cNvPicPr>
                      <a:picLocks noChangeAspect="1"/>
                    </pic:cNvPicPr>
                  </pic:nvPicPr>
                  <pic:blipFill>
                    <a:blip r:embed="rId9" cstate="print"/>
                    <a:srcRect l="11789" r="12602" b="3822"/>
                    <a:stretch>
                      <a:fillRect/>
                    </a:stretch>
                  </pic:blipFill>
                  <pic:spPr>
                    <a:xfrm>
                      <a:off x="0" y="0"/>
                      <a:ext cx="1045210" cy="1104900"/>
                    </a:xfrm>
                    <a:prstGeom prst="rect">
                      <a:avLst/>
                    </a:prstGeom>
                    <a:noFill/>
                    <a:ln>
                      <a:noFill/>
                    </a:ln>
                  </pic:spPr>
                </pic:pic>
              </a:graphicData>
            </a:graphic>
          </wp:anchor>
        </w:drawing>
      </w:r>
    </w:p>
    <w:p w:rsidR="005B7551" w:rsidRDefault="00252D0C">
      <w:pPr>
        <w:rPr>
          <w:rFonts w:ascii="Times New Roman" w:eastAsia="黑体" w:hAnsi="Times New Roman"/>
          <w:b/>
          <w:color w:val="333399"/>
          <w:sz w:val="30"/>
          <w:szCs w:val="30"/>
        </w:rPr>
      </w:pPr>
      <w:r>
        <w:rPr>
          <w:rFonts w:ascii="Times New Roman" w:eastAsia="黑体" w:hAnsi="Times New Roman"/>
          <w:b/>
          <w:color w:val="333399"/>
          <w:sz w:val="30"/>
          <w:szCs w:val="30"/>
        </w:rPr>
        <w:t>大连市律师协会证券期货法律专业委员会</w:t>
      </w:r>
    </w:p>
    <w:p w:rsidR="005B7551" w:rsidRDefault="005B7551" w:rsidP="000334EE">
      <w:pPr>
        <w:ind w:firstLineChars="100" w:firstLine="440"/>
        <w:rPr>
          <w:rFonts w:ascii="Times New Roman" w:hAnsi="Times New Roman"/>
          <w:b/>
          <w:color w:val="333399"/>
          <w:sz w:val="44"/>
          <w:szCs w:val="44"/>
        </w:rPr>
      </w:pPr>
    </w:p>
    <w:p w:rsidR="005B7551" w:rsidRDefault="00252D0C">
      <w:pPr>
        <w:ind w:firstLineChars="100" w:firstLine="522"/>
        <w:jc w:val="center"/>
        <w:rPr>
          <w:rFonts w:ascii="Times New Roman" w:eastAsia="黑体" w:hAnsi="Times New Roman"/>
          <w:b/>
          <w:color w:val="FF0000"/>
          <w:sz w:val="52"/>
          <w:szCs w:val="52"/>
        </w:rPr>
      </w:pPr>
      <w:r>
        <w:rPr>
          <w:rFonts w:ascii="Times New Roman" w:eastAsia="黑体" w:hAnsi="Times New Roman"/>
          <w:b/>
          <w:color w:val="FF0000"/>
          <w:sz w:val="52"/>
          <w:szCs w:val="52"/>
        </w:rPr>
        <w:t>资本市场信息</w:t>
      </w:r>
    </w:p>
    <w:p w:rsidR="005B7551" w:rsidRDefault="005B7551">
      <w:pPr>
        <w:rPr>
          <w:rFonts w:ascii="Times New Roman" w:hAnsi="Times New Roman"/>
          <w:b/>
          <w:color w:val="auto"/>
          <w:sz w:val="32"/>
          <w:szCs w:val="32"/>
        </w:rPr>
      </w:pPr>
    </w:p>
    <w:p w:rsidR="005B7551" w:rsidRDefault="00252D0C">
      <w:pPr>
        <w:spacing w:line="480" w:lineRule="auto"/>
        <w:jc w:val="center"/>
        <w:rPr>
          <w:rFonts w:ascii="Times New Roman" w:eastAsia="黑体" w:hAnsi="Times New Roman"/>
          <w:b/>
          <w:bCs/>
          <w:color w:val="auto"/>
          <w:szCs w:val="24"/>
        </w:rPr>
      </w:pPr>
      <w:r>
        <w:rPr>
          <w:rFonts w:ascii="Times New Roman" w:eastAsia="黑体" w:hAnsi="Times New Roman"/>
          <w:b/>
          <w:bCs/>
          <w:color w:val="auto"/>
          <w:szCs w:val="24"/>
        </w:rPr>
        <w:t>202</w:t>
      </w:r>
      <w:r>
        <w:rPr>
          <w:rFonts w:ascii="Times New Roman" w:eastAsia="黑体" w:hAnsi="Times New Roman" w:hint="eastAsia"/>
          <w:b/>
          <w:bCs/>
          <w:color w:val="auto"/>
          <w:szCs w:val="24"/>
        </w:rPr>
        <w:t>3</w:t>
      </w:r>
      <w:r>
        <w:rPr>
          <w:rFonts w:ascii="Times New Roman" w:eastAsia="黑体" w:hAnsi="Times New Roman"/>
          <w:b/>
          <w:bCs/>
          <w:color w:val="auto"/>
          <w:szCs w:val="24"/>
        </w:rPr>
        <w:t>年第</w:t>
      </w:r>
      <w:r>
        <w:rPr>
          <w:rFonts w:ascii="Times New Roman" w:eastAsia="黑体" w:hAnsi="Times New Roman" w:hint="eastAsia"/>
          <w:b/>
          <w:bCs/>
          <w:color w:val="auto"/>
          <w:szCs w:val="24"/>
        </w:rPr>
        <w:t>3</w:t>
      </w:r>
      <w:r>
        <w:rPr>
          <w:rFonts w:ascii="Times New Roman" w:eastAsia="黑体" w:hAnsi="Times New Roman"/>
          <w:b/>
          <w:bCs/>
          <w:color w:val="auto"/>
          <w:szCs w:val="24"/>
        </w:rPr>
        <w:t>期</w:t>
      </w:r>
    </w:p>
    <w:p w:rsidR="005B7551" w:rsidRDefault="005B7551">
      <w:pPr>
        <w:spacing w:line="480" w:lineRule="auto"/>
        <w:jc w:val="center"/>
        <w:rPr>
          <w:rFonts w:ascii="Times New Roman" w:eastAsia="黑体" w:hAnsi="Times New Roman"/>
          <w:b/>
          <w:bCs/>
          <w:color w:val="auto"/>
          <w:szCs w:val="24"/>
        </w:rPr>
      </w:pPr>
      <w:bookmarkStart w:id="0" w:name="_GoBack"/>
      <w:bookmarkEnd w:id="0"/>
      <w:r w:rsidRPr="005B7551">
        <w:rPr>
          <w:rFonts w:ascii="Times New Roman" w:hAnsi="Times New Roman"/>
        </w:rPr>
        <w:pict>
          <v:shapetype id="_x0000_t202" coordsize="21600,21600" o:spt="202" path="m,l,21600r21600,l21600,xe">
            <v:stroke joinstyle="miter"/>
            <v:path gradientshapeok="t" o:connecttype="rect"/>
          </v:shapetype>
          <v:shape id="_x0000_s1026" type="#_x0000_t202" style="position:absolute;left:0;text-align:left;margin-left:7.05pt;margin-top:191.7pt;width:446.8pt;height:97.2pt;z-index:251660288;mso-position-horizontal-relative:margin" o:gfxdata="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AKF4vI2QAAAAoBAAAPAAAA&#10;AAAAAAEAIAAAACIAAABkcnMvZG93bnJldi54bWxQSwECFAAUAAAACACHTuJAyIfahU0CAACXBAAA&#10;DgAAAAAAAAABACAAAAAoAQAAZHJzL2Uyb0RvYy54bWxQSwUGAAAAAAYABgBZAQAA5wUAAAAA&#10;" strokecolor="#1313ad" strokeweight="1pt">
            <v:textbox>
              <w:txbxContent>
                <w:p w:rsidR="005B7551" w:rsidRDefault="00252D0C">
                  <w:pPr>
                    <w:rPr>
                      <w:rFonts w:ascii="黑体" w:eastAsia="黑体" w:hAnsi="黑体" w:cs="黑体"/>
                      <w:b/>
                      <w:color w:val="333399"/>
                      <w:sz w:val="21"/>
                      <w:szCs w:val="21"/>
                    </w:rPr>
                  </w:pPr>
                  <w:r>
                    <w:rPr>
                      <w:rFonts w:ascii="黑体" w:eastAsia="黑体" w:hAnsi="黑体" w:cs="黑体" w:hint="eastAsia"/>
                      <w:b/>
                      <w:color w:val="333399"/>
                      <w:sz w:val="21"/>
                      <w:szCs w:val="21"/>
                    </w:rPr>
                    <w:t>特别声明：本信息简报所载内容均来自国内报刊、专业网站已发表的文章。在任何情形下，本信息简报均不可作为法律意见、作出行动或制止行动的依据。</w:t>
                  </w:r>
                </w:p>
                <w:p w:rsidR="005B7551" w:rsidRDefault="005B7551">
                  <w:pPr>
                    <w:rPr>
                      <w:rFonts w:ascii="黑体" w:eastAsia="黑体" w:hAnsi="黑体" w:cs="黑体"/>
                      <w:b/>
                      <w:color w:val="333399"/>
                      <w:sz w:val="21"/>
                      <w:szCs w:val="21"/>
                    </w:rPr>
                  </w:pPr>
                </w:p>
                <w:p w:rsidR="005B7551" w:rsidRDefault="00252D0C">
                  <w:pPr>
                    <w:rPr>
                      <w:rFonts w:ascii="黑体" w:eastAsia="黑体" w:hAnsi="黑体" w:cs="黑体"/>
                      <w:b/>
                      <w:color w:val="333399"/>
                      <w:sz w:val="21"/>
                      <w:szCs w:val="21"/>
                    </w:rPr>
                  </w:pPr>
                  <w:r>
                    <w:rPr>
                      <w:rFonts w:ascii="黑体" w:eastAsia="黑体" w:hAnsi="黑体" w:cs="黑体" w:hint="eastAsia"/>
                      <w:b/>
                      <w:color w:val="333399"/>
                      <w:sz w:val="21"/>
                      <w:szCs w:val="21"/>
                    </w:rPr>
                    <w:t>版权保护：本信息简报由辽宁省律师协会金融与保险法律专业委员会、大连市律师协会证券期货法律专业委员会共同编辑并发布。任何有关本信息简报的转载或摘编，请注明出处。</w:t>
                  </w:r>
                </w:p>
              </w:txbxContent>
            </v:textbox>
            <w10:wrap type="square" anchorx="margin"/>
          </v:shape>
        </w:pict>
      </w:r>
      <w:r w:rsidRPr="005B7551">
        <w:rPr>
          <w:rFonts w:ascii="Times New Roman" w:hAnsi="Times New Roman"/>
          <w:color w:val="auto"/>
        </w:rPr>
        <w:pict>
          <v:shape id="_x0000_s1027" type="#_x0000_t202" style="position:absolute;left:0;text-align:left;margin-left:88.7pt;margin-top:37.35pt;width:315.25pt;height:130.2pt;z-index:251659264" o:gfxdata="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FIkSZPXAAAA&#10;CgEAAA8AAAAAAAAAAQAgAAAAIgAAAGRycy9kb3ducmV2LnhtbFBLAQIUABQAAAAIAIdO4kB5QUUs&#10;HgIAACQEAAAOAAAAAAAAAAEAIAAAACYBAABkcnMvZTJvRG9jLnhtbFBLBQYAAAAABgAGAFkBAAC2&#10;BQAAAAA=&#10;" filled="f" stroked="f">
            <v:textbox>
              <w:txbxContent>
                <w:p w:rsidR="005B7551" w:rsidRDefault="005B7551">
                  <w:pPr>
                    <w:pStyle w:val="a3"/>
                    <w:spacing w:after="0" w:line="360" w:lineRule="auto"/>
                    <w:rPr>
                      <w:rFonts w:ascii="黑体" w:eastAsia="黑体" w:hAnsi="黑体" w:cs="黑体"/>
                      <w:color w:val="auto"/>
                      <w:szCs w:val="24"/>
                    </w:rPr>
                  </w:pPr>
                </w:p>
                <w:p w:rsidR="005B7551" w:rsidRDefault="00252D0C">
                  <w:pPr>
                    <w:pStyle w:val="a3"/>
                    <w:spacing w:after="0" w:line="360" w:lineRule="auto"/>
                    <w:rPr>
                      <w:rFonts w:ascii="黑体" w:eastAsia="黑体" w:hAnsi="黑体" w:cs="黑体"/>
                      <w:color w:val="auto"/>
                      <w:szCs w:val="24"/>
                    </w:rPr>
                  </w:pPr>
                  <w:r>
                    <w:rPr>
                      <w:rFonts w:ascii="黑体" w:eastAsia="黑体" w:hAnsi="黑体" w:cs="黑体" w:hint="eastAsia"/>
                      <w:color w:val="auto"/>
                      <w:szCs w:val="24"/>
                    </w:rPr>
                    <w:t>本期编辑：</w:t>
                  </w:r>
                  <w:r>
                    <w:rPr>
                      <w:rFonts w:ascii="黑体" w:eastAsia="黑体" w:hAnsi="黑体" w:cs="黑体" w:hint="eastAsia"/>
                      <w:color w:val="auto"/>
                      <w:szCs w:val="24"/>
                    </w:rPr>
                    <w:t>周</w:t>
                  </w:r>
                  <w:r>
                    <w:rPr>
                      <w:rFonts w:ascii="黑体" w:eastAsia="黑体" w:hAnsi="黑体" w:cs="黑体" w:hint="eastAsia"/>
                      <w:color w:val="auto"/>
                      <w:szCs w:val="24"/>
                    </w:rPr>
                    <w:t xml:space="preserve">  </w:t>
                  </w:r>
                  <w:r>
                    <w:rPr>
                      <w:rFonts w:ascii="黑体" w:eastAsia="黑体" w:hAnsi="黑体" w:cs="黑体" w:hint="eastAsia"/>
                      <w:color w:val="auto"/>
                      <w:szCs w:val="24"/>
                    </w:rPr>
                    <w:t>惠</w:t>
                  </w:r>
                  <w:r>
                    <w:rPr>
                      <w:rFonts w:ascii="黑体" w:eastAsia="黑体" w:hAnsi="黑体" w:cs="黑体" w:hint="eastAsia"/>
                      <w:color w:val="auto"/>
                      <w:szCs w:val="24"/>
                    </w:rPr>
                    <w:t xml:space="preserve">  </w:t>
                  </w:r>
                  <w:r>
                    <w:rPr>
                      <w:rFonts w:ascii="黑体" w:eastAsia="黑体" w:hAnsi="黑体" w:cs="黑体" w:hint="eastAsia"/>
                      <w:color w:val="auto"/>
                      <w:szCs w:val="24"/>
                    </w:rPr>
                    <w:t>国浩律师（大连）</w:t>
                  </w:r>
                  <w:r>
                    <w:rPr>
                      <w:rFonts w:ascii="黑体" w:eastAsia="黑体" w:hAnsi="黑体" w:cs="黑体" w:hint="eastAsia"/>
                      <w:color w:val="auto"/>
                      <w:szCs w:val="24"/>
                    </w:rPr>
                    <w:t>事务所</w:t>
                  </w:r>
                </w:p>
                <w:p w:rsidR="005B7551" w:rsidRDefault="00252D0C">
                  <w:pPr>
                    <w:pStyle w:val="a3"/>
                    <w:spacing w:after="0" w:line="360" w:lineRule="auto"/>
                    <w:rPr>
                      <w:rFonts w:ascii="黑体" w:eastAsia="黑体" w:hAnsi="黑体" w:cs="黑体"/>
                      <w:color w:val="auto"/>
                      <w:szCs w:val="24"/>
                    </w:rPr>
                  </w:pPr>
                  <w:r>
                    <w:rPr>
                      <w:rFonts w:ascii="黑体" w:eastAsia="黑体" w:hAnsi="黑体" w:cs="黑体" w:hint="eastAsia"/>
                      <w:color w:val="auto"/>
                      <w:szCs w:val="24"/>
                    </w:rPr>
                    <w:t xml:space="preserve">          </w:t>
                  </w:r>
                  <w:r>
                    <w:rPr>
                      <w:rFonts w:ascii="黑体" w:eastAsia="黑体" w:hAnsi="黑体" w:cs="黑体" w:hint="eastAsia"/>
                      <w:color w:val="auto"/>
                      <w:szCs w:val="24"/>
                    </w:rPr>
                    <w:t>刘甜甜</w:t>
                  </w:r>
                  <w:r>
                    <w:rPr>
                      <w:rFonts w:ascii="黑体" w:eastAsia="黑体" w:hAnsi="黑体" w:cs="黑体" w:hint="eastAsia"/>
                      <w:color w:val="auto"/>
                      <w:szCs w:val="24"/>
                    </w:rPr>
                    <w:t xml:space="preserve">  </w:t>
                  </w:r>
                  <w:r>
                    <w:rPr>
                      <w:rFonts w:ascii="黑体" w:eastAsia="黑体" w:hAnsi="黑体" w:cs="黑体" w:hint="eastAsia"/>
                      <w:color w:val="auto"/>
                      <w:szCs w:val="24"/>
                    </w:rPr>
                    <w:t>国浩律师（大连）事务所</w:t>
                  </w:r>
                </w:p>
                <w:p w:rsidR="005B7551" w:rsidRDefault="00252D0C">
                  <w:pPr>
                    <w:pStyle w:val="a3"/>
                    <w:spacing w:after="0" w:line="360" w:lineRule="auto"/>
                    <w:rPr>
                      <w:rFonts w:ascii="黑体" w:eastAsia="黑体" w:hAnsi="黑体" w:cs="黑体"/>
                      <w:color w:val="auto"/>
                      <w:szCs w:val="24"/>
                    </w:rPr>
                  </w:pPr>
                  <w:r>
                    <w:rPr>
                      <w:rFonts w:ascii="黑体" w:eastAsia="黑体" w:hAnsi="黑体" w:cs="黑体" w:hint="eastAsia"/>
                      <w:color w:val="auto"/>
                      <w:szCs w:val="24"/>
                    </w:rPr>
                    <w:t xml:space="preserve">          </w:t>
                  </w:r>
                  <w:r>
                    <w:rPr>
                      <w:rFonts w:ascii="黑体" w:eastAsia="黑体" w:hAnsi="黑体" w:cs="黑体" w:hint="eastAsia"/>
                      <w:color w:val="auto"/>
                      <w:szCs w:val="24"/>
                    </w:rPr>
                    <w:t>李清晨</w:t>
                  </w:r>
                  <w:r>
                    <w:rPr>
                      <w:rFonts w:ascii="黑体" w:eastAsia="黑体" w:hAnsi="黑体" w:cs="黑体" w:hint="eastAsia"/>
                      <w:color w:val="auto"/>
                      <w:szCs w:val="24"/>
                    </w:rPr>
                    <w:t xml:space="preserve">  </w:t>
                  </w:r>
                  <w:r>
                    <w:rPr>
                      <w:rFonts w:ascii="黑体" w:eastAsia="黑体" w:hAnsi="黑体" w:cs="黑体" w:hint="eastAsia"/>
                      <w:color w:val="auto"/>
                      <w:szCs w:val="24"/>
                    </w:rPr>
                    <w:t>国浩律师（大连）事务所</w:t>
                  </w:r>
                </w:p>
                <w:p w:rsidR="005B7551" w:rsidRDefault="00252D0C">
                  <w:pPr>
                    <w:pStyle w:val="a3"/>
                    <w:spacing w:after="0" w:line="360" w:lineRule="auto"/>
                    <w:rPr>
                      <w:rFonts w:ascii="Arial Black" w:hAnsi="Arial Black"/>
                      <w:color w:val="333399"/>
                      <w:szCs w:val="24"/>
                    </w:rPr>
                  </w:pPr>
                  <w:r>
                    <w:rPr>
                      <w:rFonts w:ascii="黑体" w:eastAsia="黑体" w:hAnsi="黑体" w:cs="黑体" w:hint="eastAsia"/>
                      <w:color w:val="auto"/>
                      <w:szCs w:val="24"/>
                    </w:rPr>
                    <w:t>责任编辑：潘晓黎</w:t>
                  </w:r>
                  <w:r>
                    <w:rPr>
                      <w:rFonts w:ascii="黑体" w:eastAsia="黑体" w:hAnsi="黑体" w:cs="黑体" w:hint="eastAsia"/>
                      <w:color w:val="auto"/>
                      <w:szCs w:val="24"/>
                    </w:rPr>
                    <w:t xml:space="preserve">  </w:t>
                  </w:r>
                  <w:r>
                    <w:rPr>
                      <w:rFonts w:ascii="黑体" w:eastAsia="黑体" w:hAnsi="黑体" w:cs="黑体" w:hint="eastAsia"/>
                      <w:color w:val="auto"/>
                      <w:szCs w:val="24"/>
                    </w:rPr>
                    <w:t>北京观韬中茂（大连）律师事务所</w:t>
                  </w:r>
                </w:p>
                <w:p w:rsidR="005B7551" w:rsidRDefault="005B7551">
                  <w:pPr>
                    <w:pStyle w:val="a3"/>
                    <w:spacing w:after="0" w:line="360" w:lineRule="auto"/>
                    <w:rPr>
                      <w:rFonts w:ascii="Arial Black" w:hAnsi="Arial Black"/>
                      <w:b/>
                      <w:bCs/>
                      <w:color w:val="333399"/>
                      <w:sz w:val="21"/>
                      <w:szCs w:val="21"/>
                    </w:rPr>
                  </w:pPr>
                </w:p>
                <w:p w:rsidR="005B7551" w:rsidRDefault="005B7551">
                  <w:pPr>
                    <w:pStyle w:val="a3"/>
                    <w:spacing w:after="0" w:line="360" w:lineRule="auto"/>
                    <w:rPr>
                      <w:rFonts w:ascii="Arial Black" w:hAnsi="Arial Black"/>
                      <w:b/>
                      <w:bCs/>
                      <w:color w:val="333399"/>
                      <w:sz w:val="21"/>
                      <w:szCs w:val="21"/>
                    </w:rPr>
                  </w:pPr>
                </w:p>
              </w:txbxContent>
            </v:textbox>
            <w10:wrap type="square"/>
          </v:shape>
        </w:pict>
      </w:r>
      <w:r w:rsidR="00252D0C">
        <w:rPr>
          <w:rFonts w:ascii="Times New Roman" w:eastAsia="黑体" w:hAnsi="Times New Roman"/>
          <w:b/>
          <w:bCs/>
          <w:color w:val="auto"/>
          <w:szCs w:val="24"/>
        </w:rPr>
        <w:t>总第</w:t>
      </w:r>
      <w:r w:rsidR="00252D0C">
        <w:rPr>
          <w:rFonts w:ascii="Times New Roman" w:eastAsia="黑体" w:hAnsi="Times New Roman" w:hint="eastAsia"/>
          <w:b/>
          <w:bCs/>
          <w:color w:val="auto"/>
          <w:szCs w:val="24"/>
        </w:rPr>
        <w:t>一百四十三</w:t>
      </w:r>
      <w:r w:rsidR="00252D0C">
        <w:rPr>
          <w:rFonts w:ascii="Times New Roman" w:eastAsia="黑体" w:hAnsi="Times New Roman"/>
          <w:b/>
          <w:bCs/>
          <w:color w:val="auto"/>
          <w:szCs w:val="24"/>
        </w:rPr>
        <w:t>期</w:t>
      </w:r>
    </w:p>
    <w:p w:rsidR="005B7551" w:rsidRDefault="005B7551">
      <w:pPr>
        <w:rPr>
          <w:rFonts w:ascii="Times New Roman" w:eastAsia="黑体" w:hAnsi="Times New Roman"/>
          <w:b/>
          <w:color w:val="auto"/>
          <w:szCs w:val="24"/>
        </w:rPr>
        <w:sectPr w:rsidR="005B7551">
          <w:headerReference w:type="even" r:id="rId10"/>
          <w:headerReference w:type="default" r:id="rId11"/>
          <w:footerReference w:type="even" r:id="rId12"/>
          <w:footerReference w:type="default" r:id="rId13"/>
          <w:headerReference w:type="first" r:id="rId14"/>
          <w:footerReference w:type="first" r:id="rId15"/>
          <w:pgSz w:w="11906" w:h="16838"/>
          <w:pgMar w:top="1440" w:right="1417" w:bottom="1440" w:left="1417" w:header="851" w:footer="992" w:gutter="0"/>
          <w:cols w:space="720"/>
          <w:titlePg/>
          <w:docGrid w:type="lines" w:linePitch="312"/>
        </w:sectPr>
      </w:pPr>
    </w:p>
    <w:p w:rsidR="005B7551" w:rsidRDefault="00252D0C">
      <w:pPr>
        <w:tabs>
          <w:tab w:val="left" w:pos="0"/>
          <w:tab w:val="left" w:pos="840"/>
        </w:tabs>
        <w:spacing w:before="100" w:beforeAutospacing="1" w:after="100" w:afterAutospacing="1"/>
        <w:rPr>
          <w:rFonts w:ascii="Times New Roman" w:eastAsia="黑体" w:hAnsi="Times New Roman"/>
          <w:b/>
          <w:color w:val="FFFFFF"/>
          <w:sz w:val="32"/>
          <w:szCs w:val="32"/>
          <w:highlight w:val="blue"/>
        </w:rPr>
      </w:pPr>
      <w:r>
        <w:rPr>
          <w:rFonts w:ascii="Times New Roman" w:eastAsia="黑体" w:hAnsi="Times New Roman"/>
          <w:b/>
          <w:color w:val="FFFFFF"/>
          <w:sz w:val="32"/>
          <w:szCs w:val="32"/>
        </w:rPr>
        <w:lastRenderedPageBreak/>
        <w:t>资</w:t>
      </w:r>
      <w:r>
        <w:rPr>
          <w:rFonts w:ascii="Times New Roman" w:eastAsia="黑体" w:hAnsi="Times New Roman"/>
          <w:b/>
          <w:color w:val="FFFFFF"/>
          <w:sz w:val="32"/>
          <w:szCs w:val="32"/>
          <w:highlight w:val="blue"/>
        </w:rPr>
        <w:t>资本市场最新动态</w:t>
      </w:r>
    </w:p>
    <w:p w:rsidR="005B7551" w:rsidRDefault="00252D0C" w:rsidP="000334EE">
      <w:pPr>
        <w:numPr>
          <w:ilvl w:val="1"/>
          <w:numId w:val="1"/>
        </w:numPr>
        <w:tabs>
          <w:tab w:val="clear" w:pos="846"/>
          <w:tab w:val="left" w:pos="0"/>
          <w:tab w:val="left" w:pos="840"/>
        </w:tabs>
        <w:spacing w:afterLines="50" w:line="360" w:lineRule="auto"/>
        <w:ind w:left="0" w:firstLineChars="200" w:firstLine="480"/>
        <w:rPr>
          <w:rFonts w:ascii="Times New Roman" w:eastAsia="宋体" w:hAnsi="Times New Roman"/>
          <w:color w:val="auto"/>
          <w:szCs w:val="24"/>
        </w:rPr>
      </w:pPr>
      <w:r>
        <w:rPr>
          <w:rFonts w:ascii="Times New Roman" w:eastAsia="宋体" w:hAnsi="Times New Roman"/>
          <w:color w:val="auto"/>
          <w:szCs w:val="24"/>
        </w:rPr>
        <w:t>上市公司数据信息统计</w:t>
      </w:r>
      <w:r>
        <w:rPr>
          <w:rFonts w:ascii="Times New Roman" w:eastAsia="宋体" w:hAnsi="Times New Roman"/>
          <w:color w:val="auto"/>
          <w:szCs w:val="24"/>
        </w:rPr>
        <w:t xml:space="preserve">                    </w:t>
      </w:r>
      <w:r>
        <w:rPr>
          <w:rFonts w:ascii="Times New Roman" w:eastAsia="宋体" w:hAnsi="Times New Roman"/>
          <w:color w:val="auto"/>
          <w:szCs w:val="24"/>
        </w:rPr>
        <w:t xml:space="preserve">         </w:t>
      </w:r>
      <w:r>
        <w:rPr>
          <w:rFonts w:ascii="Times New Roman" w:eastAsia="宋体" w:hAnsi="Times New Roman"/>
          <w:color w:val="auto"/>
          <w:szCs w:val="24"/>
        </w:rPr>
        <w:t>截至</w:t>
      </w:r>
      <w:r>
        <w:rPr>
          <w:rFonts w:ascii="Times New Roman" w:eastAsia="宋体" w:hAnsi="Times New Roman"/>
          <w:color w:val="auto"/>
          <w:szCs w:val="24"/>
        </w:rPr>
        <w:t>202</w:t>
      </w:r>
      <w:r>
        <w:rPr>
          <w:rFonts w:ascii="Times New Roman" w:eastAsia="宋体" w:hAnsi="Times New Roman" w:hint="eastAsia"/>
          <w:color w:val="auto"/>
          <w:szCs w:val="24"/>
        </w:rPr>
        <w:t>3</w:t>
      </w:r>
      <w:r>
        <w:rPr>
          <w:rFonts w:ascii="Times New Roman" w:eastAsia="宋体" w:hAnsi="Times New Roman"/>
          <w:color w:val="auto"/>
          <w:szCs w:val="24"/>
        </w:rPr>
        <w:t>年</w:t>
      </w:r>
      <w:r>
        <w:rPr>
          <w:rFonts w:ascii="Times New Roman" w:eastAsia="宋体" w:hAnsi="Times New Roman" w:hint="eastAsia"/>
          <w:color w:val="auto"/>
          <w:szCs w:val="24"/>
        </w:rPr>
        <w:t>2</w:t>
      </w:r>
      <w:r>
        <w:rPr>
          <w:rFonts w:ascii="Times New Roman" w:eastAsia="宋体" w:hAnsi="Times New Roman"/>
          <w:color w:val="auto"/>
          <w:szCs w:val="24"/>
        </w:rPr>
        <w:t>月</w:t>
      </w:r>
      <w:r>
        <w:rPr>
          <w:rFonts w:ascii="Times New Roman" w:eastAsia="宋体" w:hAnsi="Times New Roman" w:hint="eastAsia"/>
          <w:color w:val="auto"/>
          <w:szCs w:val="24"/>
        </w:rPr>
        <w:t>2</w:t>
      </w:r>
      <w:r>
        <w:rPr>
          <w:rFonts w:ascii="Times New Roman" w:eastAsia="宋体" w:hAnsi="Times New Roman"/>
          <w:color w:val="auto"/>
          <w:szCs w:val="24"/>
        </w:rPr>
        <w:t>8</w:t>
      </w:r>
      <w:r>
        <w:rPr>
          <w:rFonts w:ascii="Times New Roman" w:eastAsia="宋体" w:hAnsi="Times New Roman"/>
          <w:color w:val="auto"/>
          <w:szCs w:val="24"/>
        </w:rPr>
        <w:t>日</w:t>
      </w:r>
    </w:p>
    <w:tbl>
      <w:tblPr>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0"/>
        <w:gridCol w:w="1495"/>
        <w:gridCol w:w="1373"/>
        <w:gridCol w:w="1371"/>
        <w:gridCol w:w="1479"/>
        <w:gridCol w:w="1238"/>
      </w:tblGrid>
      <w:tr w:rsidR="005B7551">
        <w:trPr>
          <w:trHeight w:val="518"/>
        </w:trPr>
        <w:tc>
          <w:tcPr>
            <w:tcW w:w="1212" w:type="pct"/>
            <w:shd w:val="clear" w:color="auto" w:fill="BEBEBE"/>
          </w:tcPr>
          <w:p w:rsidR="005B7551" w:rsidRDefault="005B7551">
            <w:pPr>
              <w:jc w:val="center"/>
              <w:rPr>
                <w:rFonts w:ascii="Times New Roman" w:eastAsia="宋体" w:hAnsi="Times New Roman"/>
                <w:b/>
                <w:bCs/>
                <w:color w:val="auto"/>
                <w:szCs w:val="24"/>
              </w:rPr>
            </w:pPr>
          </w:p>
        </w:tc>
        <w:tc>
          <w:tcPr>
            <w:tcW w:w="813" w:type="pct"/>
            <w:shd w:val="clear" w:color="auto" w:fill="BEBEBE"/>
            <w:vAlign w:val="center"/>
          </w:tcPr>
          <w:p w:rsidR="005B7551" w:rsidRDefault="00252D0C">
            <w:pPr>
              <w:jc w:val="center"/>
              <w:rPr>
                <w:rFonts w:ascii="Times New Roman" w:eastAsia="宋体" w:hAnsi="Times New Roman"/>
                <w:b/>
                <w:bCs/>
                <w:color w:val="auto"/>
                <w:szCs w:val="24"/>
              </w:rPr>
            </w:pPr>
            <w:r>
              <w:rPr>
                <w:rFonts w:ascii="Times New Roman" w:eastAsia="宋体" w:hAnsi="Times New Roman"/>
                <w:b/>
                <w:bCs/>
                <w:color w:val="auto"/>
                <w:szCs w:val="24"/>
              </w:rPr>
              <w:t>沪市主板</w:t>
            </w:r>
          </w:p>
        </w:tc>
        <w:tc>
          <w:tcPr>
            <w:tcW w:w="747" w:type="pct"/>
            <w:shd w:val="clear" w:color="auto" w:fill="C0C0C0"/>
            <w:vAlign w:val="center"/>
          </w:tcPr>
          <w:p w:rsidR="005B7551" w:rsidRDefault="00252D0C">
            <w:pPr>
              <w:jc w:val="center"/>
              <w:rPr>
                <w:rFonts w:ascii="Times New Roman" w:eastAsia="宋体" w:hAnsi="Times New Roman"/>
                <w:b/>
                <w:bCs/>
                <w:color w:val="auto"/>
                <w:szCs w:val="24"/>
              </w:rPr>
            </w:pPr>
            <w:r>
              <w:rPr>
                <w:rFonts w:ascii="Times New Roman" w:eastAsia="宋体" w:hAnsi="Times New Roman"/>
                <w:b/>
                <w:bCs/>
                <w:color w:val="auto"/>
                <w:szCs w:val="24"/>
              </w:rPr>
              <w:t>深市主板</w:t>
            </w:r>
          </w:p>
        </w:tc>
        <w:tc>
          <w:tcPr>
            <w:tcW w:w="746" w:type="pct"/>
            <w:shd w:val="clear" w:color="auto" w:fill="C0C0C0"/>
            <w:vAlign w:val="center"/>
          </w:tcPr>
          <w:p w:rsidR="005B7551" w:rsidRDefault="00252D0C">
            <w:pPr>
              <w:jc w:val="center"/>
              <w:rPr>
                <w:rFonts w:ascii="Times New Roman" w:eastAsia="宋体" w:hAnsi="Times New Roman"/>
                <w:b/>
                <w:bCs/>
                <w:color w:val="auto"/>
                <w:szCs w:val="24"/>
              </w:rPr>
            </w:pPr>
            <w:r>
              <w:rPr>
                <w:rFonts w:ascii="Times New Roman" w:eastAsia="宋体" w:hAnsi="Times New Roman"/>
                <w:b/>
                <w:bCs/>
                <w:color w:val="auto"/>
                <w:szCs w:val="24"/>
              </w:rPr>
              <w:t>创业板</w:t>
            </w:r>
          </w:p>
        </w:tc>
        <w:tc>
          <w:tcPr>
            <w:tcW w:w="805" w:type="pct"/>
            <w:shd w:val="clear" w:color="auto" w:fill="C0C0C0"/>
            <w:vAlign w:val="center"/>
          </w:tcPr>
          <w:p w:rsidR="005B7551" w:rsidRDefault="00252D0C">
            <w:pPr>
              <w:jc w:val="center"/>
              <w:rPr>
                <w:rFonts w:ascii="Times New Roman" w:eastAsia="宋体" w:hAnsi="Times New Roman"/>
                <w:b/>
                <w:bCs/>
                <w:color w:val="auto"/>
                <w:szCs w:val="24"/>
              </w:rPr>
            </w:pPr>
            <w:r>
              <w:rPr>
                <w:rFonts w:ascii="Times New Roman" w:eastAsia="宋体" w:hAnsi="Times New Roman"/>
                <w:b/>
                <w:bCs/>
                <w:color w:val="auto"/>
                <w:szCs w:val="24"/>
              </w:rPr>
              <w:t>科创板</w:t>
            </w:r>
          </w:p>
        </w:tc>
        <w:tc>
          <w:tcPr>
            <w:tcW w:w="674" w:type="pct"/>
            <w:shd w:val="clear" w:color="auto" w:fill="C0C0C0"/>
            <w:vAlign w:val="center"/>
          </w:tcPr>
          <w:p w:rsidR="005B7551" w:rsidRDefault="00252D0C">
            <w:pPr>
              <w:jc w:val="center"/>
              <w:rPr>
                <w:rFonts w:ascii="Times New Roman" w:eastAsia="宋体" w:hAnsi="Times New Roman"/>
                <w:b/>
                <w:bCs/>
                <w:color w:val="auto"/>
                <w:szCs w:val="24"/>
                <w:lang/>
              </w:rPr>
            </w:pPr>
            <w:r>
              <w:rPr>
                <w:rFonts w:ascii="Times New Roman" w:eastAsia="宋体" w:hAnsi="Times New Roman" w:hint="eastAsia"/>
                <w:b/>
                <w:bCs/>
                <w:color w:val="auto"/>
                <w:szCs w:val="24"/>
                <w:lang/>
              </w:rPr>
              <w:t>北交所</w:t>
            </w:r>
          </w:p>
        </w:tc>
      </w:tr>
      <w:tr w:rsidR="005B7551">
        <w:trPr>
          <w:trHeight w:val="454"/>
        </w:trPr>
        <w:tc>
          <w:tcPr>
            <w:tcW w:w="1212" w:type="pct"/>
            <w:vAlign w:val="center"/>
          </w:tcPr>
          <w:p w:rsidR="005B7551" w:rsidRDefault="00252D0C">
            <w:pPr>
              <w:rPr>
                <w:rFonts w:ascii="Times New Roman" w:eastAsia="宋体" w:hAnsi="Times New Roman"/>
                <w:color w:val="auto"/>
                <w:szCs w:val="24"/>
              </w:rPr>
            </w:pPr>
            <w:r>
              <w:rPr>
                <w:rFonts w:ascii="Times New Roman" w:eastAsia="宋体" w:hAnsi="Times New Roman"/>
                <w:color w:val="auto"/>
                <w:szCs w:val="24"/>
              </w:rPr>
              <w:t>上市公司（家数）</w:t>
            </w:r>
          </w:p>
        </w:tc>
        <w:tc>
          <w:tcPr>
            <w:tcW w:w="813"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1,</w:t>
            </w:r>
            <w:r>
              <w:rPr>
                <w:rFonts w:ascii="Times New Roman" w:eastAsia="宋体" w:hAnsi="Times New Roman"/>
                <w:color w:val="auto"/>
                <w:szCs w:val="24"/>
              </w:rPr>
              <w:t>67</w:t>
            </w:r>
            <w:r>
              <w:rPr>
                <w:rFonts w:ascii="Times New Roman" w:eastAsia="宋体" w:hAnsi="Times New Roman" w:hint="eastAsia"/>
                <w:color w:val="auto"/>
                <w:szCs w:val="24"/>
              </w:rPr>
              <w:t>7</w:t>
            </w:r>
          </w:p>
        </w:tc>
        <w:tc>
          <w:tcPr>
            <w:tcW w:w="747"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1,515</w:t>
            </w:r>
          </w:p>
        </w:tc>
        <w:tc>
          <w:tcPr>
            <w:tcW w:w="746"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1,238</w:t>
            </w:r>
          </w:p>
        </w:tc>
        <w:tc>
          <w:tcPr>
            <w:tcW w:w="805"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507</w:t>
            </w:r>
          </w:p>
        </w:tc>
        <w:tc>
          <w:tcPr>
            <w:tcW w:w="674"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color w:val="auto"/>
                <w:szCs w:val="24"/>
              </w:rPr>
              <w:t>1</w:t>
            </w:r>
            <w:r>
              <w:rPr>
                <w:rFonts w:ascii="Times New Roman" w:eastAsia="宋体" w:hAnsi="Times New Roman" w:hint="eastAsia"/>
                <w:color w:val="auto"/>
                <w:szCs w:val="24"/>
              </w:rPr>
              <w:t>7</w:t>
            </w:r>
            <w:r>
              <w:rPr>
                <w:rFonts w:ascii="Times New Roman" w:eastAsia="宋体" w:hAnsi="Times New Roman"/>
                <w:color w:val="auto"/>
                <w:szCs w:val="24"/>
              </w:rPr>
              <w:t>5</w:t>
            </w:r>
          </w:p>
        </w:tc>
      </w:tr>
      <w:tr w:rsidR="005B7551">
        <w:trPr>
          <w:trHeight w:val="454"/>
        </w:trPr>
        <w:tc>
          <w:tcPr>
            <w:tcW w:w="1212" w:type="pct"/>
            <w:vAlign w:val="center"/>
          </w:tcPr>
          <w:p w:rsidR="005B7551" w:rsidRDefault="00252D0C">
            <w:pPr>
              <w:rPr>
                <w:rFonts w:ascii="Times New Roman" w:eastAsia="宋体" w:hAnsi="Times New Roman"/>
                <w:color w:val="auto"/>
                <w:szCs w:val="24"/>
              </w:rPr>
            </w:pPr>
            <w:r>
              <w:rPr>
                <w:rFonts w:ascii="Times New Roman" w:eastAsia="宋体" w:hAnsi="Times New Roman"/>
                <w:color w:val="auto"/>
                <w:szCs w:val="24"/>
              </w:rPr>
              <w:t>总发行股本（亿股）</w:t>
            </w:r>
          </w:p>
        </w:tc>
        <w:tc>
          <w:tcPr>
            <w:tcW w:w="813"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46,</w:t>
            </w:r>
            <w:r>
              <w:rPr>
                <w:rFonts w:ascii="Times New Roman" w:eastAsia="宋体" w:hAnsi="Times New Roman"/>
                <w:color w:val="auto"/>
                <w:szCs w:val="24"/>
              </w:rPr>
              <w:t>1</w:t>
            </w:r>
            <w:r>
              <w:rPr>
                <w:rFonts w:ascii="Times New Roman" w:eastAsia="宋体" w:hAnsi="Times New Roman" w:hint="eastAsia"/>
                <w:color w:val="auto"/>
                <w:szCs w:val="24"/>
              </w:rPr>
              <w:t>0</w:t>
            </w:r>
            <w:r>
              <w:rPr>
                <w:rFonts w:ascii="Times New Roman" w:eastAsia="宋体" w:hAnsi="Times New Roman"/>
                <w:color w:val="auto"/>
                <w:szCs w:val="24"/>
              </w:rPr>
              <w:t>1</w:t>
            </w:r>
            <w:r>
              <w:rPr>
                <w:rFonts w:ascii="Times New Roman" w:eastAsia="宋体" w:hAnsi="Times New Roman" w:hint="eastAsia"/>
                <w:color w:val="auto"/>
                <w:szCs w:val="24"/>
              </w:rPr>
              <w:t>.</w:t>
            </w:r>
            <w:r>
              <w:rPr>
                <w:rFonts w:ascii="Times New Roman" w:eastAsia="宋体" w:hAnsi="Times New Roman"/>
                <w:color w:val="auto"/>
                <w:szCs w:val="24"/>
              </w:rPr>
              <w:t>09</w:t>
            </w:r>
            <w:r>
              <w:rPr>
                <w:rFonts w:ascii="Times New Roman" w:eastAsia="宋体" w:hAnsi="Times New Roman" w:hint="eastAsia"/>
                <w:color w:val="auto"/>
                <w:szCs w:val="24"/>
              </w:rPr>
              <w:t xml:space="preserve"> </w:t>
            </w:r>
          </w:p>
        </w:tc>
        <w:tc>
          <w:tcPr>
            <w:tcW w:w="747"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20,041.</w:t>
            </w:r>
            <w:r>
              <w:rPr>
                <w:rFonts w:ascii="Times New Roman" w:eastAsia="宋体" w:hAnsi="Times New Roman"/>
                <w:color w:val="auto"/>
                <w:szCs w:val="24"/>
              </w:rPr>
              <w:t>22</w:t>
            </w:r>
          </w:p>
        </w:tc>
        <w:tc>
          <w:tcPr>
            <w:tcW w:w="746"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5,</w:t>
            </w:r>
            <w:r>
              <w:rPr>
                <w:rFonts w:ascii="Times New Roman" w:eastAsia="宋体" w:hAnsi="Times New Roman" w:hint="eastAsia"/>
                <w:color w:val="auto"/>
                <w:szCs w:val="24"/>
              </w:rPr>
              <w:t>716</w:t>
            </w:r>
            <w:r>
              <w:rPr>
                <w:rFonts w:ascii="Times New Roman" w:eastAsia="宋体" w:hAnsi="Times New Roman" w:hint="eastAsia"/>
                <w:color w:val="auto"/>
                <w:szCs w:val="24"/>
              </w:rPr>
              <w:t>.</w:t>
            </w:r>
            <w:r>
              <w:rPr>
                <w:rFonts w:ascii="Times New Roman" w:eastAsia="宋体" w:hAnsi="Times New Roman" w:hint="eastAsia"/>
                <w:color w:val="auto"/>
                <w:szCs w:val="24"/>
              </w:rPr>
              <w:t>5</w:t>
            </w:r>
            <w:r>
              <w:rPr>
                <w:rFonts w:ascii="Times New Roman" w:eastAsia="宋体" w:hAnsi="Times New Roman"/>
                <w:color w:val="auto"/>
                <w:szCs w:val="24"/>
              </w:rPr>
              <w:t>5</w:t>
            </w:r>
          </w:p>
        </w:tc>
        <w:tc>
          <w:tcPr>
            <w:tcW w:w="805"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1</w:t>
            </w:r>
            <w:r>
              <w:rPr>
                <w:rFonts w:ascii="Times New Roman" w:eastAsia="宋体" w:hAnsi="Times New Roman" w:hint="eastAsia"/>
                <w:color w:val="auto"/>
                <w:szCs w:val="24"/>
              </w:rPr>
              <w:t>,</w:t>
            </w:r>
            <w:r>
              <w:rPr>
                <w:rFonts w:ascii="Times New Roman" w:eastAsia="宋体" w:hAnsi="Times New Roman" w:hint="eastAsia"/>
                <w:color w:val="auto"/>
                <w:szCs w:val="24"/>
              </w:rPr>
              <w:t>752.65</w:t>
            </w:r>
            <w:r>
              <w:rPr>
                <w:rFonts w:ascii="Times New Roman" w:eastAsia="宋体" w:hAnsi="Times New Roman" w:hint="eastAsia"/>
                <w:color w:val="auto"/>
                <w:szCs w:val="24"/>
              </w:rPr>
              <w:t xml:space="preserve"> </w:t>
            </w:r>
          </w:p>
        </w:tc>
        <w:tc>
          <w:tcPr>
            <w:tcW w:w="674"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color w:val="auto"/>
                <w:szCs w:val="24"/>
              </w:rPr>
              <w:t>2</w:t>
            </w:r>
            <w:r>
              <w:rPr>
                <w:rFonts w:ascii="Times New Roman" w:eastAsia="宋体" w:hAnsi="Times New Roman" w:hint="eastAsia"/>
                <w:color w:val="auto"/>
                <w:szCs w:val="24"/>
              </w:rPr>
              <w:t>2</w:t>
            </w:r>
            <w:r>
              <w:rPr>
                <w:rFonts w:ascii="Times New Roman" w:eastAsia="宋体" w:hAnsi="Times New Roman"/>
                <w:color w:val="auto"/>
                <w:szCs w:val="24"/>
              </w:rPr>
              <w:t>9</w:t>
            </w:r>
            <w:r>
              <w:rPr>
                <w:rFonts w:ascii="Times New Roman" w:eastAsia="宋体" w:hAnsi="Times New Roman" w:hint="eastAsia"/>
                <w:color w:val="auto"/>
                <w:szCs w:val="24"/>
                <w:lang/>
              </w:rPr>
              <w:t>.</w:t>
            </w:r>
            <w:r>
              <w:rPr>
                <w:rFonts w:ascii="Times New Roman" w:eastAsia="宋体" w:hAnsi="Times New Roman"/>
                <w:color w:val="auto"/>
                <w:szCs w:val="24"/>
                <w:lang/>
              </w:rPr>
              <w:t>72</w:t>
            </w:r>
          </w:p>
        </w:tc>
      </w:tr>
      <w:tr w:rsidR="005B7551">
        <w:trPr>
          <w:trHeight w:val="454"/>
        </w:trPr>
        <w:tc>
          <w:tcPr>
            <w:tcW w:w="1212" w:type="pct"/>
            <w:vAlign w:val="center"/>
          </w:tcPr>
          <w:p w:rsidR="005B7551" w:rsidRDefault="00252D0C">
            <w:pPr>
              <w:rPr>
                <w:rFonts w:ascii="Times New Roman" w:eastAsia="宋体" w:hAnsi="Times New Roman"/>
                <w:color w:val="auto"/>
                <w:szCs w:val="24"/>
              </w:rPr>
            </w:pPr>
            <w:r>
              <w:rPr>
                <w:rFonts w:ascii="Times New Roman" w:eastAsia="宋体" w:hAnsi="Times New Roman"/>
                <w:color w:val="auto"/>
                <w:szCs w:val="24"/>
              </w:rPr>
              <w:t>总流通股本（亿股）</w:t>
            </w:r>
          </w:p>
        </w:tc>
        <w:tc>
          <w:tcPr>
            <w:tcW w:w="813" w:type="pct"/>
            <w:vAlign w:val="center"/>
          </w:tcPr>
          <w:p w:rsidR="005B7551" w:rsidRDefault="00252D0C">
            <w:pPr>
              <w:wordWrap w:val="0"/>
              <w:jc w:val="right"/>
              <w:rPr>
                <w:rFonts w:ascii="Times New Roman" w:eastAsia="宋体" w:hAnsi="Times New Roman"/>
                <w:color w:val="auto"/>
                <w:szCs w:val="24"/>
              </w:rPr>
            </w:pPr>
            <w:r>
              <w:rPr>
                <w:rFonts w:ascii="Times New Roman" w:eastAsia="宋体" w:hAnsi="Times New Roman" w:hint="eastAsia"/>
                <w:color w:val="auto"/>
                <w:szCs w:val="24"/>
              </w:rPr>
              <w:t>41,</w:t>
            </w:r>
            <w:r>
              <w:rPr>
                <w:rFonts w:ascii="Times New Roman" w:eastAsia="宋体" w:hAnsi="Times New Roman"/>
                <w:color w:val="auto"/>
                <w:szCs w:val="24"/>
              </w:rPr>
              <w:t>910</w:t>
            </w:r>
            <w:r>
              <w:rPr>
                <w:rFonts w:ascii="Times New Roman" w:eastAsia="宋体" w:hAnsi="Times New Roman" w:hint="eastAsia"/>
                <w:color w:val="auto"/>
                <w:szCs w:val="24"/>
              </w:rPr>
              <w:t>.</w:t>
            </w:r>
            <w:r>
              <w:rPr>
                <w:rFonts w:ascii="Times New Roman" w:eastAsia="宋体" w:hAnsi="Times New Roman"/>
                <w:color w:val="auto"/>
                <w:szCs w:val="24"/>
              </w:rPr>
              <w:t>90</w:t>
            </w:r>
          </w:p>
        </w:tc>
        <w:tc>
          <w:tcPr>
            <w:tcW w:w="747"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17,797.</w:t>
            </w:r>
            <w:r>
              <w:rPr>
                <w:rFonts w:ascii="Times New Roman" w:eastAsia="宋体" w:hAnsi="Times New Roman"/>
                <w:color w:val="auto"/>
                <w:szCs w:val="24"/>
              </w:rPr>
              <w:t>75</w:t>
            </w:r>
          </w:p>
        </w:tc>
        <w:tc>
          <w:tcPr>
            <w:tcW w:w="746"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4,</w:t>
            </w:r>
            <w:r>
              <w:rPr>
                <w:rFonts w:ascii="Times New Roman" w:eastAsia="宋体" w:hAnsi="Times New Roman" w:hint="eastAsia"/>
                <w:color w:val="auto"/>
                <w:szCs w:val="24"/>
              </w:rPr>
              <w:t>409</w:t>
            </w:r>
            <w:r>
              <w:rPr>
                <w:rFonts w:ascii="Times New Roman" w:eastAsia="宋体" w:hAnsi="Times New Roman" w:hint="eastAsia"/>
                <w:color w:val="auto"/>
                <w:szCs w:val="24"/>
              </w:rPr>
              <w:t>.</w:t>
            </w:r>
            <w:r>
              <w:rPr>
                <w:rFonts w:ascii="Times New Roman" w:eastAsia="宋体" w:hAnsi="Times New Roman"/>
                <w:color w:val="auto"/>
                <w:szCs w:val="24"/>
              </w:rPr>
              <w:t>57</w:t>
            </w:r>
          </w:p>
        </w:tc>
        <w:tc>
          <w:tcPr>
            <w:tcW w:w="805" w:type="pct"/>
            <w:vAlign w:val="center"/>
          </w:tcPr>
          <w:p w:rsidR="005B7551" w:rsidRDefault="00252D0C">
            <w:pPr>
              <w:wordWrap w:val="0"/>
              <w:jc w:val="right"/>
              <w:rPr>
                <w:rFonts w:ascii="Times New Roman" w:eastAsia="宋体" w:hAnsi="Times New Roman"/>
                <w:color w:val="auto"/>
                <w:szCs w:val="24"/>
              </w:rPr>
            </w:pPr>
            <w:r>
              <w:rPr>
                <w:rFonts w:ascii="Times New Roman" w:eastAsia="宋体" w:hAnsi="Times New Roman" w:hint="eastAsia"/>
                <w:color w:val="auto"/>
                <w:szCs w:val="24"/>
              </w:rPr>
              <w:t>839.0</w:t>
            </w:r>
            <w:r>
              <w:rPr>
                <w:rFonts w:ascii="Times New Roman" w:eastAsia="宋体" w:hAnsi="Times New Roman"/>
                <w:color w:val="auto"/>
                <w:szCs w:val="24"/>
              </w:rPr>
              <w:t>8</w:t>
            </w:r>
          </w:p>
        </w:tc>
        <w:tc>
          <w:tcPr>
            <w:tcW w:w="674" w:type="pct"/>
            <w:vAlign w:val="center"/>
          </w:tcPr>
          <w:p w:rsidR="005B7551" w:rsidRDefault="00252D0C">
            <w:pPr>
              <w:wordWrap w:val="0"/>
              <w:jc w:val="right"/>
              <w:rPr>
                <w:rFonts w:ascii="Times New Roman" w:eastAsia="宋体" w:hAnsi="Times New Roman"/>
                <w:color w:val="auto"/>
                <w:szCs w:val="24"/>
              </w:rPr>
            </w:pPr>
            <w:r>
              <w:rPr>
                <w:rFonts w:ascii="Times New Roman" w:eastAsia="宋体" w:hAnsi="Times New Roman"/>
                <w:color w:val="auto"/>
                <w:szCs w:val="24"/>
              </w:rPr>
              <w:t>118</w:t>
            </w:r>
            <w:r>
              <w:rPr>
                <w:rFonts w:ascii="Times New Roman" w:eastAsia="宋体" w:hAnsi="Times New Roman" w:hint="eastAsia"/>
                <w:color w:val="auto"/>
                <w:szCs w:val="24"/>
                <w:lang/>
              </w:rPr>
              <w:t>.</w:t>
            </w:r>
            <w:r>
              <w:rPr>
                <w:rFonts w:ascii="Times New Roman" w:eastAsia="宋体" w:hAnsi="Times New Roman"/>
                <w:color w:val="auto"/>
                <w:szCs w:val="24"/>
                <w:lang/>
              </w:rPr>
              <w:t>4</w:t>
            </w:r>
            <w:r>
              <w:rPr>
                <w:rFonts w:ascii="Times New Roman" w:eastAsia="宋体" w:hAnsi="Times New Roman" w:hint="eastAsia"/>
                <w:color w:val="auto"/>
                <w:szCs w:val="24"/>
              </w:rPr>
              <w:t>2</w:t>
            </w:r>
          </w:p>
        </w:tc>
      </w:tr>
      <w:tr w:rsidR="005B7551">
        <w:trPr>
          <w:trHeight w:val="454"/>
        </w:trPr>
        <w:tc>
          <w:tcPr>
            <w:tcW w:w="1212" w:type="pct"/>
            <w:vAlign w:val="center"/>
          </w:tcPr>
          <w:p w:rsidR="005B7551" w:rsidRDefault="00252D0C">
            <w:pPr>
              <w:rPr>
                <w:rFonts w:ascii="Times New Roman" w:eastAsia="宋体" w:hAnsi="Times New Roman"/>
                <w:color w:val="auto"/>
                <w:szCs w:val="24"/>
              </w:rPr>
            </w:pPr>
            <w:r>
              <w:rPr>
                <w:rFonts w:ascii="Times New Roman" w:eastAsia="宋体" w:hAnsi="Times New Roman"/>
                <w:color w:val="auto"/>
                <w:szCs w:val="24"/>
              </w:rPr>
              <w:t>总市值（亿元）</w:t>
            </w:r>
          </w:p>
        </w:tc>
        <w:tc>
          <w:tcPr>
            <w:tcW w:w="813" w:type="pct"/>
            <w:vAlign w:val="center"/>
          </w:tcPr>
          <w:p w:rsidR="005B7551" w:rsidRDefault="00252D0C">
            <w:pPr>
              <w:wordWrap w:val="0"/>
              <w:jc w:val="right"/>
              <w:rPr>
                <w:rFonts w:ascii="Times New Roman" w:eastAsia="宋体" w:hAnsi="Times New Roman"/>
                <w:color w:val="auto"/>
                <w:szCs w:val="24"/>
              </w:rPr>
            </w:pPr>
            <w:r>
              <w:rPr>
                <w:rFonts w:ascii="Times New Roman" w:eastAsia="宋体" w:hAnsi="Times New Roman" w:hint="eastAsia"/>
                <w:color w:val="auto"/>
                <w:szCs w:val="24"/>
              </w:rPr>
              <w:t>4</w:t>
            </w:r>
            <w:r>
              <w:rPr>
                <w:rFonts w:ascii="Times New Roman" w:eastAsia="宋体" w:hAnsi="Times New Roman"/>
                <w:color w:val="auto"/>
                <w:szCs w:val="24"/>
              </w:rPr>
              <w:t>3</w:t>
            </w:r>
            <w:r>
              <w:rPr>
                <w:rFonts w:ascii="Times New Roman" w:eastAsia="宋体" w:hAnsi="Times New Roman" w:hint="eastAsia"/>
                <w:color w:val="auto"/>
                <w:szCs w:val="24"/>
              </w:rPr>
              <w:t>2,5</w:t>
            </w:r>
            <w:r>
              <w:rPr>
                <w:rFonts w:ascii="Times New Roman" w:eastAsia="宋体" w:hAnsi="Times New Roman"/>
                <w:color w:val="auto"/>
                <w:szCs w:val="24"/>
              </w:rPr>
              <w:t>88</w:t>
            </w:r>
            <w:r>
              <w:rPr>
                <w:rFonts w:ascii="Times New Roman" w:eastAsia="宋体" w:hAnsi="Times New Roman" w:hint="eastAsia"/>
                <w:color w:val="auto"/>
                <w:szCs w:val="24"/>
              </w:rPr>
              <w:t>.8</w:t>
            </w:r>
            <w:r>
              <w:rPr>
                <w:rFonts w:ascii="Times New Roman" w:eastAsia="宋体" w:hAnsi="Times New Roman"/>
                <w:color w:val="auto"/>
                <w:szCs w:val="24"/>
              </w:rPr>
              <w:t>1</w:t>
            </w:r>
          </w:p>
        </w:tc>
        <w:tc>
          <w:tcPr>
            <w:tcW w:w="747"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2</w:t>
            </w:r>
            <w:r>
              <w:rPr>
                <w:rFonts w:ascii="Times New Roman" w:eastAsia="宋体" w:hAnsi="Times New Roman"/>
                <w:color w:val="auto"/>
                <w:szCs w:val="24"/>
              </w:rPr>
              <w:t>30</w:t>
            </w:r>
            <w:r>
              <w:rPr>
                <w:rFonts w:ascii="Times New Roman" w:eastAsia="宋体" w:hAnsi="Times New Roman" w:hint="eastAsia"/>
                <w:color w:val="auto"/>
                <w:szCs w:val="24"/>
              </w:rPr>
              <w:t>,</w:t>
            </w:r>
            <w:r>
              <w:rPr>
                <w:rFonts w:ascii="Times New Roman" w:eastAsia="宋体" w:hAnsi="Times New Roman"/>
                <w:color w:val="auto"/>
                <w:szCs w:val="24"/>
              </w:rPr>
              <w:t>413</w:t>
            </w:r>
            <w:r>
              <w:rPr>
                <w:rFonts w:ascii="Times New Roman" w:eastAsia="宋体" w:hAnsi="Times New Roman" w:hint="eastAsia"/>
                <w:color w:val="auto"/>
                <w:szCs w:val="24"/>
              </w:rPr>
              <w:t>.</w:t>
            </w:r>
            <w:r>
              <w:rPr>
                <w:rFonts w:ascii="Times New Roman" w:eastAsia="宋体" w:hAnsi="Times New Roman"/>
                <w:color w:val="auto"/>
                <w:szCs w:val="24"/>
              </w:rPr>
              <w:t>11</w:t>
            </w:r>
          </w:p>
        </w:tc>
        <w:tc>
          <w:tcPr>
            <w:tcW w:w="746" w:type="pct"/>
            <w:vAlign w:val="center"/>
          </w:tcPr>
          <w:p w:rsidR="005B7551" w:rsidRDefault="00252D0C">
            <w:pPr>
              <w:jc w:val="right"/>
              <w:rPr>
                <w:rFonts w:ascii="Times New Roman" w:eastAsia="宋体" w:hAnsi="Times New Roman"/>
                <w:color w:val="auto"/>
                <w:szCs w:val="24"/>
              </w:rPr>
            </w:pPr>
            <w:r>
              <w:rPr>
                <w:rFonts w:ascii="Times New Roman" w:eastAsia="宋体" w:hAnsi="Times New Roman" w:hint="eastAsia"/>
                <w:color w:val="auto"/>
                <w:szCs w:val="24"/>
              </w:rPr>
              <w:t>12</w:t>
            </w:r>
            <w:r>
              <w:rPr>
                <w:rFonts w:ascii="Times New Roman" w:eastAsia="宋体" w:hAnsi="Times New Roman"/>
                <w:color w:val="auto"/>
                <w:szCs w:val="24"/>
              </w:rPr>
              <w:t>3</w:t>
            </w:r>
            <w:r>
              <w:rPr>
                <w:rFonts w:ascii="Times New Roman" w:eastAsia="宋体" w:hAnsi="Times New Roman" w:hint="eastAsia"/>
                <w:color w:val="auto"/>
                <w:szCs w:val="24"/>
              </w:rPr>
              <w:t>,</w:t>
            </w:r>
            <w:r>
              <w:rPr>
                <w:rFonts w:ascii="Times New Roman" w:eastAsia="宋体" w:hAnsi="Times New Roman"/>
                <w:color w:val="auto"/>
                <w:szCs w:val="24"/>
              </w:rPr>
              <w:t>24</w:t>
            </w:r>
            <w:r>
              <w:rPr>
                <w:rFonts w:ascii="Times New Roman" w:eastAsia="宋体" w:hAnsi="Times New Roman" w:hint="eastAsia"/>
                <w:color w:val="auto"/>
                <w:szCs w:val="24"/>
              </w:rPr>
              <w:t>5</w:t>
            </w:r>
            <w:r>
              <w:rPr>
                <w:rFonts w:ascii="Times New Roman" w:eastAsia="宋体" w:hAnsi="Times New Roman" w:hint="eastAsia"/>
                <w:color w:val="auto"/>
                <w:szCs w:val="24"/>
              </w:rPr>
              <w:t>.</w:t>
            </w:r>
            <w:r>
              <w:rPr>
                <w:rFonts w:ascii="Times New Roman" w:eastAsia="宋体" w:hAnsi="Times New Roman" w:hint="eastAsia"/>
                <w:color w:val="auto"/>
                <w:szCs w:val="24"/>
              </w:rPr>
              <w:t>33</w:t>
            </w:r>
          </w:p>
        </w:tc>
        <w:tc>
          <w:tcPr>
            <w:tcW w:w="805" w:type="pct"/>
            <w:vAlign w:val="center"/>
          </w:tcPr>
          <w:p w:rsidR="005B7551" w:rsidRDefault="00252D0C">
            <w:pPr>
              <w:wordWrap w:val="0"/>
              <w:jc w:val="right"/>
              <w:rPr>
                <w:rFonts w:ascii="Times New Roman" w:eastAsia="宋体" w:hAnsi="Times New Roman"/>
                <w:color w:val="auto"/>
                <w:szCs w:val="24"/>
              </w:rPr>
            </w:pPr>
            <w:r>
              <w:rPr>
                <w:rFonts w:ascii="Times New Roman" w:eastAsia="宋体" w:hAnsi="Times New Roman" w:hint="eastAsia"/>
                <w:color w:val="auto"/>
                <w:szCs w:val="24"/>
              </w:rPr>
              <w:t>63,3</w:t>
            </w:r>
            <w:r>
              <w:rPr>
                <w:rFonts w:ascii="Times New Roman" w:eastAsia="宋体" w:hAnsi="Times New Roman"/>
                <w:color w:val="auto"/>
                <w:szCs w:val="24"/>
              </w:rPr>
              <w:t>69</w:t>
            </w:r>
            <w:r>
              <w:rPr>
                <w:rFonts w:ascii="Times New Roman" w:eastAsia="宋体" w:hAnsi="Times New Roman" w:hint="eastAsia"/>
                <w:color w:val="auto"/>
                <w:szCs w:val="24"/>
              </w:rPr>
              <w:t>.</w:t>
            </w:r>
            <w:r>
              <w:rPr>
                <w:rFonts w:ascii="Times New Roman" w:eastAsia="宋体" w:hAnsi="Times New Roman"/>
                <w:color w:val="auto"/>
                <w:szCs w:val="24"/>
              </w:rPr>
              <w:t>91</w:t>
            </w:r>
          </w:p>
        </w:tc>
        <w:tc>
          <w:tcPr>
            <w:tcW w:w="674" w:type="pct"/>
            <w:vAlign w:val="center"/>
          </w:tcPr>
          <w:p w:rsidR="005B7551" w:rsidRDefault="00252D0C">
            <w:pPr>
              <w:wordWrap w:val="0"/>
              <w:jc w:val="right"/>
              <w:rPr>
                <w:rFonts w:ascii="Times New Roman" w:eastAsia="宋体" w:hAnsi="Times New Roman"/>
                <w:color w:val="auto"/>
                <w:szCs w:val="24"/>
              </w:rPr>
            </w:pPr>
            <w:r>
              <w:rPr>
                <w:rFonts w:ascii="Times New Roman" w:eastAsia="宋体" w:hAnsi="Times New Roman"/>
                <w:color w:val="auto"/>
                <w:szCs w:val="24"/>
              </w:rPr>
              <w:t>2</w:t>
            </w:r>
            <w:r>
              <w:rPr>
                <w:rFonts w:ascii="Times New Roman" w:eastAsia="宋体" w:hAnsi="Times New Roman" w:hint="eastAsia"/>
                <w:color w:val="auto"/>
                <w:szCs w:val="24"/>
              </w:rPr>
              <w:t>,</w:t>
            </w:r>
            <w:r>
              <w:rPr>
                <w:rFonts w:ascii="Times New Roman" w:eastAsia="宋体" w:hAnsi="Times New Roman"/>
                <w:color w:val="auto"/>
                <w:szCs w:val="24"/>
              </w:rPr>
              <w:t>422</w:t>
            </w:r>
            <w:r>
              <w:rPr>
                <w:rFonts w:ascii="Times New Roman" w:eastAsia="宋体" w:hAnsi="Times New Roman" w:hint="eastAsia"/>
                <w:color w:val="auto"/>
                <w:szCs w:val="24"/>
                <w:lang/>
              </w:rPr>
              <w:t>.</w:t>
            </w:r>
            <w:r>
              <w:rPr>
                <w:rFonts w:ascii="Times New Roman" w:eastAsia="宋体" w:hAnsi="Times New Roman"/>
                <w:color w:val="auto"/>
                <w:szCs w:val="24"/>
                <w:lang/>
              </w:rPr>
              <w:t>54</w:t>
            </w:r>
          </w:p>
        </w:tc>
      </w:tr>
      <w:tr w:rsidR="005B7551">
        <w:trPr>
          <w:trHeight w:val="454"/>
        </w:trPr>
        <w:tc>
          <w:tcPr>
            <w:tcW w:w="1212" w:type="pct"/>
            <w:vAlign w:val="center"/>
          </w:tcPr>
          <w:p w:rsidR="005B7551" w:rsidRDefault="00252D0C">
            <w:pPr>
              <w:rPr>
                <w:rFonts w:ascii="Times New Roman" w:eastAsia="宋体" w:hAnsi="Times New Roman"/>
                <w:color w:val="auto"/>
                <w:szCs w:val="24"/>
              </w:rPr>
            </w:pPr>
            <w:r>
              <w:rPr>
                <w:rFonts w:ascii="Times New Roman" w:eastAsia="宋体" w:hAnsi="Times New Roman"/>
                <w:color w:val="auto"/>
                <w:szCs w:val="24"/>
              </w:rPr>
              <w:t>平均市盈率</w:t>
            </w:r>
          </w:p>
        </w:tc>
        <w:tc>
          <w:tcPr>
            <w:tcW w:w="813" w:type="pct"/>
            <w:vAlign w:val="center"/>
          </w:tcPr>
          <w:p w:rsidR="005B7551" w:rsidRDefault="00252D0C">
            <w:pPr>
              <w:wordWrap w:val="0"/>
              <w:jc w:val="right"/>
              <w:rPr>
                <w:rFonts w:ascii="Times New Roman" w:eastAsia="宋体" w:hAnsi="Times New Roman"/>
                <w:color w:val="auto"/>
                <w:szCs w:val="24"/>
              </w:rPr>
            </w:pPr>
            <w:r>
              <w:rPr>
                <w:rFonts w:ascii="Times New Roman" w:eastAsia="宋体" w:hAnsi="Times New Roman" w:hint="eastAsia"/>
                <w:color w:val="auto"/>
                <w:szCs w:val="24"/>
              </w:rPr>
              <w:t>12.</w:t>
            </w:r>
            <w:r>
              <w:rPr>
                <w:rFonts w:ascii="Times New Roman" w:eastAsia="宋体" w:hAnsi="Times New Roman"/>
                <w:color w:val="auto"/>
                <w:szCs w:val="24"/>
              </w:rPr>
              <w:t>40</w:t>
            </w:r>
          </w:p>
        </w:tc>
        <w:tc>
          <w:tcPr>
            <w:tcW w:w="747" w:type="pct"/>
            <w:vAlign w:val="center"/>
          </w:tcPr>
          <w:p w:rsidR="005B7551" w:rsidRDefault="00252D0C">
            <w:pPr>
              <w:wordWrap w:val="0"/>
              <w:jc w:val="right"/>
              <w:rPr>
                <w:rFonts w:ascii="Times New Roman" w:eastAsia="宋体" w:hAnsi="Times New Roman"/>
                <w:color w:val="auto"/>
                <w:szCs w:val="24"/>
              </w:rPr>
            </w:pPr>
            <w:r>
              <w:rPr>
                <w:rFonts w:ascii="Times New Roman" w:eastAsia="宋体" w:hAnsi="Times New Roman" w:hint="eastAsia"/>
                <w:color w:val="auto"/>
                <w:szCs w:val="24"/>
              </w:rPr>
              <w:t>21.</w:t>
            </w:r>
            <w:r>
              <w:rPr>
                <w:rFonts w:ascii="Times New Roman" w:eastAsia="宋体" w:hAnsi="Times New Roman"/>
                <w:color w:val="auto"/>
                <w:szCs w:val="24"/>
              </w:rPr>
              <w:t>35</w:t>
            </w:r>
          </w:p>
        </w:tc>
        <w:tc>
          <w:tcPr>
            <w:tcW w:w="746" w:type="pct"/>
            <w:vAlign w:val="center"/>
          </w:tcPr>
          <w:p w:rsidR="005B7551" w:rsidRDefault="00252D0C">
            <w:pPr>
              <w:wordWrap w:val="0"/>
              <w:jc w:val="right"/>
              <w:rPr>
                <w:rFonts w:ascii="Times New Roman" w:eastAsia="宋体" w:hAnsi="Times New Roman"/>
                <w:color w:val="auto"/>
                <w:szCs w:val="24"/>
              </w:rPr>
            </w:pPr>
            <w:r>
              <w:rPr>
                <w:rFonts w:ascii="Times New Roman" w:eastAsia="宋体" w:hAnsi="Times New Roman" w:hint="eastAsia"/>
                <w:color w:val="auto"/>
                <w:szCs w:val="24"/>
              </w:rPr>
              <w:t>40.</w:t>
            </w:r>
            <w:r>
              <w:rPr>
                <w:rFonts w:ascii="Times New Roman" w:eastAsia="宋体" w:hAnsi="Times New Roman"/>
                <w:color w:val="auto"/>
                <w:szCs w:val="24"/>
              </w:rPr>
              <w:t>63</w:t>
            </w:r>
          </w:p>
        </w:tc>
        <w:tc>
          <w:tcPr>
            <w:tcW w:w="805" w:type="pct"/>
            <w:vAlign w:val="center"/>
          </w:tcPr>
          <w:p w:rsidR="005B7551" w:rsidRDefault="00252D0C">
            <w:pPr>
              <w:wordWrap w:val="0"/>
              <w:jc w:val="right"/>
              <w:rPr>
                <w:rFonts w:ascii="Times New Roman" w:eastAsia="宋体" w:hAnsi="Times New Roman"/>
                <w:color w:val="auto"/>
                <w:szCs w:val="24"/>
              </w:rPr>
            </w:pPr>
            <w:r>
              <w:rPr>
                <w:rFonts w:ascii="Times New Roman" w:eastAsia="宋体" w:hAnsi="Times New Roman" w:hint="eastAsia"/>
                <w:color w:val="auto"/>
                <w:szCs w:val="24"/>
              </w:rPr>
              <w:t>47.</w:t>
            </w:r>
            <w:r>
              <w:rPr>
                <w:rFonts w:ascii="Times New Roman" w:eastAsia="宋体" w:hAnsi="Times New Roman"/>
                <w:color w:val="auto"/>
                <w:szCs w:val="24"/>
              </w:rPr>
              <w:t>55</w:t>
            </w:r>
          </w:p>
        </w:tc>
        <w:tc>
          <w:tcPr>
            <w:tcW w:w="674" w:type="pct"/>
            <w:vAlign w:val="center"/>
          </w:tcPr>
          <w:p w:rsidR="005B7551" w:rsidRDefault="00252D0C">
            <w:pPr>
              <w:wordWrap w:val="0"/>
              <w:jc w:val="right"/>
              <w:rPr>
                <w:rFonts w:ascii="Times New Roman" w:eastAsia="宋体" w:hAnsi="Times New Roman"/>
                <w:color w:val="auto"/>
                <w:szCs w:val="24"/>
              </w:rPr>
            </w:pPr>
            <w:r>
              <w:rPr>
                <w:rFonts w:ascii="Times New Roman" w:eastAsia="宋体" w:hAnsi="Times New Roman" w:hint="eastAsia"/>
                <w:color w:val="auto"/>
                <w:szCs w:val="24"/>
              </w:rPr>
              <w:t>20</w:t>
            </w:r>
            <w:r>
              <w:rPr>
                <w:rFonts w:ascii="Times New Roman" w:eastAsia="宋体" w:hAnsi="Times New Roman" w:hint="eastAsia"/>
                <w:color w:val="auto"/>
                <w:szCs w:val="24"/>
              </w:rPr>
              <w:t>.</w:t>
            </w:r>
            <w:r>
              <w:rPr>
                <w:rFonts w:ascii="Times New Roman" w:eastAsia="宋体" w:hAnsi="Times New Roman" w:hint="eastAsia"/>
                <w:color w:val="auto"/>
                <w:szCs w:val="24"/>
              </w:rPr>
              <w:t>31</w:t>
            </w:r>
          </w:p>
        </w:tc>
      </w:tr>
    </w:tbl>
    <w:p w:rsidR="005B7551" w:rsidRDefault="00252D0C" w:rsidP="000334EE">
      <w:pPr>
        <w:tabs>
          <w:tab w:val="left" w:pos="7560"/>
          <w:tab w:val="left" w:pos="8100"/>
        </w:tabs>
        <w:wordWrap w:val="0"/>
        <w:adjustRightInd w:val="0"/>
        <w:snapToGrid w:val="0"/>
        <w:spacing w:afterLines="50"/>
        <w:jc w:val="right"/>
        <w:rPr>
          <w:rFonts w:ascii="Times New Roman" w:eastAsia="宋体" w:hAnsi="Times New Roman"/>
          <w:color w:val="auto"/>
          <w:szCs w:val="24"/>
          <w:lang/>
        </w:rPr>
      </w:pPr>
      <w:r>
        <w:rPr>
          <w:rFonts w:ascii="Times New Roman" w:eastAsia="宋体" w:hAnsi="Times New Roman"/>
          <w:color w:val="auto"/>
          <w:szCs w:val="24"/>
        </w:rPr>
        <w:t xml:space="preserve">  </w:t>
      </w:r>
      <w:r>
        <w:rPr>
          <w:rFonts w:ascii="Times New Roman" w:eastAsia="宋体" w:hAnsi="Times New Roman"/>
          <w:color w:val="auto"/>
          <w:szCs w:val="24"/>
        </w:rPr>
        <w:t>数据来源：上交所网站</w:t>
      </w:r>
      <w:r>
        <w:rPr>
          <w:rFonts w:ascii="Times New Roman" w:eastAsia="宋体" w:hAnsi="Times New Roman"/>
          <w:color w:val="auto"/>
          <w:szCs w:val="24"/>
        </w:rPr>
        <w:t xml:space="preserve"> </w:t>
      </w:r>
      <w:r>
        <w:rPr>
          <w:rFonts w:ascii="Times New Roman" w:eastAsia="宋体" w:hAnsi="Times New Roman"/>
          <w:color w:val="auto"/>
          <w:szCs w:val="24"/>
        </w:rPr>
        <w:t>深交所网站</w:t>
      </w:r>
      <w:r>
        <w:rPr>
          <w:rFonts w:ascii="Times New Roman" w:eastAsia="宋体" w:hAnsi="Times New Roman"/>
          <w:color w:val="auto"/>
          <w:szCs w:val="24"/>
        </w:rPr>
        <w:t xml:space="preserve"> </w:t>
      </w:r>
      <w:r>
        <w:rPr>
          <w:rFonts w:ascii="Times New Roman" w:eastAsia="宋体" w:hAnsi="Times New Roman" w:hint="eastAsia"/>
          <w:color w:val="auto"/>
          <w:szCs w:val="24"/>
          <w:lang/>
        </w:rPr>
        <w:t>北交所网站</w:t>
      </w:r>
    </w:p>
    <w:p w:rsidR="005B7551" w:rsidRDefault="00252D0C" w:rsidP="000334EE">
      <w:pPr>
        <w:numPr>
          <w:ilvl w:val="1"/>
          <w:numId w:val="1"/>
        </w:numPr>
        <w:tabs>
          <w:tab w:val="clear" w:pos="846"/>
          <w:tab w:val="left" w:pos="0"/>
          <w:tab w:val="left" w:pos="840"/>
        </w:tabs>
        <w:spacing w:afterLines="50" w:line="360" w:lineRule="auto"/>
        <w:ind w:left="0" w:firstLineChars="200" w:firstLine="480"/>
        <w:rPr>
          <w:rFonts w:ascii="Times New Roman" w:eastAsia="宋体" w:hAnsi="Times New Roman"/>
          <w:color w:val="auto"/>
          <w:szCs w:val="24"/>
        </w:rPr>
      </w:pPr>
      <w:r>
        <w:rPr>
          <w:rFonts w:ascii="Times New Roman" w:eastAsia="宋体" w:hAnsi="Times New Roman"/>
          <w:color w:val="auto"/>
          <w:szCs w:val="24"/>
        </w:rPr>
        <w:t>IPO</w:t>
      </w:r>
      <w:r>
        <w:rPr>
          <w:rFonts w:ascii="Times New Roman" w:eastAsia="宋体" w:hAnsi="Times New Roman"/>
          <w:color w:val="auto"/>
          <w:szCs w:val="24"/>
        </w:rPr>
        <w:t>发行、审核情况</w:t>
      </w:r>
    </w:p>
    <w:p w:rsidR="005B7551" w:rsidRDefault="00252D0C" w:rsidP="000334EE">
      <w:pPr>
        <w:widowControl/>
        <w:adjustRightInd w:val="0"/>
        <w:snapToGrid w:val="0"/>
        <w:spacing w:afterLines="50" w:line="360" w:lineRule="auto"/>
        <w:ind w:firstLineChars="200" w:firstLine="480"/>
        <w:rPr>
          <w:rFonts w:ascii="Times New Roman" w:eastAsia="宋体" w:hAnsi="Times New Roman"/>
          <w:color w:val="auto"/>
          <w:kern w:val="0"/>
        </w:rPr>
      </w:pPr>
      <w:r>
        <w:rPr>
          <w:rFonts w:ascii="Times New Roman" w:eastAsia="宋体" w:hAnsi="Times New Roman"/>
          <w:color w:val="auto"/>
          <w:kern w:val="0"/>
        </w:rPr>
        <w:t>自</w:t>
      </w:r>
      <w:r>
        <w:rPr>
          <w:rFonts w:ascii="Times New Roman" w:eastAsia="宋体" w:hAnsi="Times New Roman"/>
          <w:color w:val="auto"/>
          <w:kern w:val="0"/>
        </w:rPr>
        <w:t>202</w:t>
      </w:r>
      <w:r>
        <w:rPr>
          <w:rFonts w:ascii="Times New Roman" w:eastAsia="宋体" w:hAnsi="Times New Roman"/>
          <w:color w:val="auto"/>
          <w:kern w:val="0"/>
        </w:rPr>
        <w:t>3</w:t>
      </w:r>
      <w:r>
        <w:rPr>
          <w:rFonts w:ascii="Times New Roman" w:eastAsia="宋体" w:hAnsi="Times New Roman"/>
          <w:color w:val="auto"/>
          <w:kern w:val="0"/>
        </w:rPr>
        <w:t>年</w:t>
      </w:r>
      <w:r>
        <w:rPr>
          <w:rFonts w:ascii="Times New Roman" w:eastAsia="宋体" w:hAnsi="Times New Roman" w:hint="eastAsia"/>
          <w:color w:val="auto"/>
          <w:kern w:val="0"/>
        </w:rPr>
        <w:t>2</w:t>
      </w:r>
      <w:r>
        <w:rPr>
          <w:rFonts w:ascii="Times New Roman" w:eastAsia="宋体" w:hAnsi="Times New Roman"/>
          <w:color w:val="auto"/>
          <w:kern w:val="0"/>
        </w:rPr>
        <w:t>月</w:t>
      </w:r>
      <w:r>
        <w:rPr>
          <w:rFonts w:ascii="Times New Roman" w:eastAsia="宋体" w:hAnsi="Times New Roman"/>
          <w:color w:val="auto"/>
          <w:kern w:val="0"/>
        </w:rPr>
        <w:t>1</w:t>
      </w:r>
      <w:r>
        <w:rPr>
          <w:rFonts w:ascii="Times New Roman" w:eastAsia="宋体" w:hAnsi="Times New Roman"/>
          <w:color w:val="auto"/>
          <w:kern w:val="0"/>
        </w:rPr>
        <w:t>日至</w:t>
      </w:r>
      <w:r>
        <w:rPr>
          <w:rFonts w:ascii="Times New Roman" w:eastAsia="宋体" w:hAnsi="Times New Roman"/>
          <w:color w:val="auto"/>
          <w:kern w:val="0"/>
        </w:rPr>
        <w:t>202</w:t>
      </w:r>
      <w:r>
        <w:rPr>
          <w:rFonts w:ascii="Times New Roman" w:eastAsia="宋体" w:hAnsi="Times New Roman"/>
          <w:color w:val="auto"/>
          <w:kern w:val="0"/>
        </w:rPr>
        <w:t>3</w:t>
      </w:r>
      <w:r>
        <w:rPr>
          <w:rFonts w:ascii="Times New Roman" w:eastAsia="宋体" w:hAnsi="Times New Roman"/>
          <w:color w:val="auto"/>
          <w:kern w:val="0"/>
        </w:rPr>
        <w:t>年</w:t>
      </w:r>
      <w:r>
        <w:rPr>
          <w:rFonts w:ascii="Times New Roman" w:eastAsia="宋体" w:hAnsi="Times New Roman" w:hint="eastAsia"/>
          <w:color w:val="auto"/>
          <w:kern w:val="0"/>
        </w:rPr>
        <w:t>2</w:t>
      </w:r>
      <w:r>
        <w:rPr>
          <w:rFonts w:ascii="Times New Roman" w:eastAsia="宋体" w:hAnsi="Times New Roman"/>
          <w:color w:val="auto"/>
          <w:kern w:val="0"/>
        </w:rPr>
        <w:t>月</w:t>
      </w:r>
      <w:r>
        <w:rPr>
          <w:rFonts w:ascii="Times New Roman" w:eastAsia="宋体" w:hAnsi="Times New Roman" w:hint="eastAsia"/>
          <w:color w:val="auto"/>
          <w:kern w:val="0"/>
        </w:rPr>
        <w:t>28</w:t>
      </w:r>
      <w:r>
        <w:rPr>
          <w:rFonts w:ascii="Times New Roman" w:eastAsia="宋体" w:hAnsi="Times New Roman"/>
          <w:color w:val="auto"/>
          <w:kern w:val="0"/>
        </w:rPr>
        <w:t>日，共有</w:t>
      </w:r>
      <w:r>
        <w:rPr>
          <w:rFonts w:ascii="Times New Roman" w:eastAsia="宋体" w:hAnsi="Times New Roman" w:hint="eastAsia"/>
          <w:color w:val="auto"/>
          <w:kern w:val="0"/>
        </w:rPr>
        <w:t>24</w:t>
      </w:r>
      <w:r>
        <w:rPr>
          <w:rFonts w:ascii="Times New Roman" w:eastAsia="宋体" w:hAnsi="Times New Roman"/>
          <w:color w:val="auto"/>
          <w:kern w:val="0"/>
        </w:rPr>
        <w:t>家公司完成首次公开发行，总共发行</w:t>
      </w:r>
      <w:r>
        <w:rPr>
          <w:rFonts w:ascii="Times New Roman" w:eastAsia="宋体" w:hAnsi="Times New Roman" w:hint="eastAsia"/>
          <w:color w:val="auto"/>
          <w:kern w:val="0"/>
        </w:rPr>
        <w:t>113</w:t>
      </w:r>
      <w:r>
        <w:rPr>
          <w:rFonts w:ascii="Times New Roman" w:eastAsia="宋体" w:hAnsi="Times New Roman"/>
          <w:color w:val="auto"/>
          <w:kern w:val="0"/>
        </w:rPr>
        <w:t>,</w:t>
      </w:r>
      <w:r>
        <w:rPr>
          <w:rFonts w:ascii="Times New Roman" w:eastAsia="宋体" w:hAnsi="Times New Roman" w:hint="eastAsia"/>
          <w:color w:val="auto"/>
          <w:kern w:val="0"/>
        </w:rPr>
        <w:t>842</w:t>
      </w:r>
      <w:r>
        <w:rPr>
          <w:rFonts w:ascii="Times New Roman" w:eastAsia="宋体" w:hAnsi="Times New Roman"/>
          <w:color w:val="auto"/>
          <w:kern w:val="0"/>
        </w:rPr>
        <w:t>.</w:t>
      </w:r>
      <w:r>
        <w:rPr>
          <w:rFonts w:ascii="Times New Roman" w:eastAsia="宋体" w:hAnsi="Times New Roman" w:hint="eastAsia"/>
          <w:color w:val="auto"/>
          <w:kern w:val="0"/>
        </w:rPr>
        <w:t>52</w:t>
      </w:r>
      <w:r>
        <w:rPr>
          <w:rFonts w:ascii="Times New Roman" w:eastAsia="宋体" w:hAnsi="Times New Roman"/>
          <w:color w:val="auto"/>
          <w:kern w:val="0"/>
        </w:rPr>
        <w:t>万股，募集资金</w:t>
      </w:r>
      <w:r>
        <w:rPr>
          <w:rFonts w:ascii="Times New Roman" w:eastAsia="宋体" w:hAnsi="Times New Roman" w:hint="eastAsia"/>
          <w:color w:val="auto"/>
          <w:kern w:val="0"/>
        </w:rPr>
        <w:t>2</w:t>
      </w:r>
      <w:r>
        <w:rPr>
          <w:rFonts w:ascii="Times New Roman" w:eastAsia="宋体" w:hAnsi="Times New Roman"/>
          <w:color w:val="auto"/>
          <w:kern w:val="0"/>
        </w:rPr>
        <w:t>,</w:t>
      </w:r>
      <w:r>
        <w:rPr>
          <w:rFonts w:ascii="Times New Roman" w:eastAsia="宋体" w:hAnsi="Times New Roman" w:hint="eastAsia"/>
          <w:color w:val="auto"/>
          <w:kern w:val="0"/>
        </w:rPr>
        <w:t>492</w:t>
      </w:r>
      <w:r>
        <w:rPr>
          <w:rFonts w:ascii="Times New Roman" w:eastAsia="宋体" w:hAnsi="Times New Roman"/>
          <w:color w:val="auto"/>
          <w:kern w:val="0"/>
        </w:rPr>
        <w:t>,</w:t>
      </w:r>
      <w:r>
        <w:rPr>
          <w:rFonts w:ascii="Times New Roman" w:eastAsia="宋体" w:hAnsi="Times New Roman" w:hint="eastAsia"/>
          <w:color w:val="auto"/>
          <w:kern w:val="0"/>
        </w:rPr>
        <w:t>467</w:t>
      </w:r>
      <w:r>
        <w:rPr>
          <w:rFonts w:ascii="Times New Roman" w:eastAsia="宋体" w:hAnsi="Times New Roman"/>
          <w:color w:val="auto"/>
          <w:kern w:val="0"/>
        </w:rPr>
        <w:t>.</w:t>
      </w:r>
      <w:r>
        <w:rPr>
          <w:rFonts w:ascii="Times New Roman" w:eastAsia="宋体" w:hAnsi="Times New Roman" w:hint="eastAsia"/>
          <w:color w:val="auto"/>
          <w:kern w:val="0"/>
        </w:rPr>
        <w:t>35</w:t>
      </w:r>
      <w:r>
        <w:rPr>
          <w:rFonts w:ascii="Times New Roman" w:eastAsia="宋体" w:hAnsi="Times New Roman"/>
          <w:color w:val="auto"/>
          <w:kern w:val="0"/>
        </w:rPr>
        <w:t>‬</w:t>
      </w:r>
      <w:r>
        <w:rPr>
          <w:rFonts w:ascii="Times New Roman" w:eastAsia="宋体" w:hAnsi="Times New Roman"/>
          <w:color w:val="auto"/>
          <w:kern w:val="0"/>
        </w:rPr>
        <w:t>万元。</w:t>
      </w:r>
    </w:p>
    <w:p w:rsidR="005B7551" w:rsidRDefault="00252D0C" w:rsidP="000334EE">
      <w:pPr>
        <w:widowControl/>
        <w:adjustRightInd w:val="0"/>
        <w:snapToGrid w:val="0"/>
        <w:spacing w:afterLines="50" w:line="360" w:lineRule="auto"/>
        <w:ind w:firstLineChars="200" w:firstLine="480"/>
        <w:rPr>
          <w:rFonts w:ascii="Times New Roman" w:eastAsia="宋体" w:hAnsi="Times New Roman"/>
          <w:color w:val="auto"/>
          <w:kern w:val="0"/>
        </w:rPr>
      </w:pPr>
      <w:r>
        <w:rPr>
          <w:rFonts w:ascii="Times New Roman" w:eastAsia="宋体" w:hAnsi="Times New Roman"/>
          <w:color w:val="auto"/>
          <w:kern w:val="0"/>
        </w:rPr>
        <w:t>其中，</w:t>
      </w:r>
      <w:r>
        <w:rPr>
          <w:rFonts w:ascii="Times New Roman" w:eastAsia="宋体" w:hAnsi="Times New Roman"/>
          <w:color w:val="auto"/>
          <w:kern w:val="0"/>
        </w:rPr>
        <w:t>深市主板</w:t>
      </w:r>
      <w:r>
        <w:rPr>
          <w:rFonts w:ascii="Times New Roman" w:eastAsia="宋体" w:hAnsi="Times New Roman"/>
          <w:color w:val="auto"/>
          <w:kern w:val="0"/>
        </w:rPr>
        <w:t>发行</w:t>
      </w:r>
      <w:r>
        <w:rPr>
          <w:rFonts w:ascii="Times New Roman" w:eastAsia="宋体" w:hAnsi="Times New Roman" w:hint="eastAsia"/>
          <w:color w:val="auto"/>
          <w:kern w:val="0"/>
        </w:rPr>
        <w:t>4</w:t>
      </w:r>
      <w:r>
        <w:rPr>
          <w:rFonts w:ascii="Times New Roman" w:eastAsia="宋体" w:hAnsi="Times New Roman"/>
          <w:color w:val="auto"/>
          <w:kern w:val="0"/>
        </w:rPr>
        <w:t>家，发行</w:t>
      </w:r>
      <w:r>
        <w:rPr>
          <w:rFonts w:ascii="Times New Roman" w:eastAsia="宋体" w:hAnsi="Times New Roman" w:hint="eastAsia"/>
          <w:color w:val="auto"/>
          <w:kern w:val="0"/>
          <w:szCs w:val="24"/>
          <w:lang/>
        </w:rPr>
        <w:t>11,536.16</w:t>
      </w:r>
      <w:r>
        <w:rPr>
          <w:rFonts w:ascii="Times New Roman" w:eastAsia="宋体" w:hAnsi="Times New Roman"/>
          <w:color w:val="auto"/>
          <w:kern w:val="0"/>
        </w:rPr>
        <w:t>万</w:t>
      </w:r>
      <w:r>
        <w:rPr>
          <w:rFonts w:ascii="Times New Roman" w:eastAsia="宋体" w:hAnsi="Times New Roman"/>
          <w:color w:val="auto"/>
          <w:kern w:val="0"/>
        </w:rPr>
        <w:t>股，募集资金</w:t>
      </w:r>
      <w:r>
        <w:rPr>
          <w:rFonts w:ascii="Times New Roman" w:eastAsia="宋体" w:hAnsi="Times New Roman" w:hint="eastAsia"/>
          <w:color w:val="auto"/>
          <w:szCs w:val="24"/>
        </w:rPr>
        <w:t>458,200.42</w:t>
      </w:r>
      <w:r>
        <w:rPr>
          <w:rFonts w:ascii="Times New Roman" w:eastAsia="宋体" w:hAnsi="Times New Roman"/>
          <w:color w:val="auto"/>
          <w:kern w:val="0"/>
        </w:rPr>
        <w:t>万</w:t>
      </w:r>
      <w:r>
        <w:rPr>
          <w:rFonts w:ascii="Times New Roman" w:eastAsia="宋体" w:hAnsi="Times New Roman"/>
          <w:color w:val="auto"/>
          <w:kern w:val="0"/>
        </w:rPr>
        <w:t>元；</w:t>
      </w:r>
      <w:r>
        <w:rPr>
          <w:rFonts w:ascii="Times New Roman" w:eastAsia="宋体" w:hAnsi="Times New Roman" w:hint="eastAsia"/>
          <w:color w:val="auto"/>
          <w:kern w:val="0"/>
        </w:rPr>
        <w:t>沪</w:t>
      </w:r>
      <w:r>
        <w:rPr>
          <w:rFonts w:ascii="Times New Roman" w:eastAsia="宋体" w:hAnsi="Times New Roman"/>
          <w:color w:val="auto"/>
          <w:kern w:val="0"/>
        </w:rPr>
        <w:t>市主板</w:t>
      </w:r>
      <w:r>
        <w:rPr>
          <w:rFonts w:ascii="Times New Roman" w:eastAsia="宋体" w:hAnsi="Times New Roman"/>
          <w:color w:val="auto"/>
          <w:kern w:val="0"/>
        </w:rPr>
        <w:t>发行</w:t>
      </w:r>
      <w:r>
        <w:rPr>
          <w:rFonts w:ascii="Times New Roman" w:eastAsia="宋体" w:hAnsi="Times New Roman" w:hint="eastAsia"/>
          <w:color w:val="auto"/>
          <w:kern w:val="0"/>
        </w:rPr>
        <w:t>3</w:t>
      </w:r>
      <w:r>
        <w:rPr>
          <w:rFonts w:ascii="Times New Roman" w:eastAsia="宋体" w:hAnsi="Times New Roman"/>
          <w:color w:val="auto"/>
          <w:kern w:val="0"/>
        </w:rPr>
        <w:t>家，发行</w:t>
      </w:r>
      <w:r>
        <w:rPr>
          <w:rFonts w:ascii="Times New Roman" w:eastAsia="宋体" w:hAnsi="Times New Roman" w:hint="eastAsia"/>
          <w:color w:val="auto"/>
          <w:kern w:val="0"/>
          <w:szCs w:val="24"/>
          <w:lang/>
        </w:rPr>
        <w:t>37,105</w:t>
      </w:r>
      <w:r>
        <w:rPr>
          <w:rFonts w:ascii="Times New Roman" w:eastAsia="宋体" w:hAnsi="Times New Roman"/>
          <w:color w:val="auto"/>
          <w:kern w:val="0"/>
        </w:rPr>
        <w:t>万</w:t>
      </w:r>
      <w:r>
        <w:rPr>
          <w:rFonts w:ascii="Times New Roman" w:eastAsia="宋体" w:hAnsi="Times New Roman"/>
          <w:color w:val="auto"/>
          <w:kern w:val="0"/>
        </w:rPr>
        <w:t>股，募集资金</w:t>
      </w:r>
      <w:r>
        <w:rPr>
          <w:rFonts w:ascii="Times New Roman" w:eastAsia="宋体" w:hAnsi="Times New Roman" w:hint="eastAsia"/>
          <w:color w:val="auto"/>
          <w:szCs w:val="24"/>
        </w:rPr>
        <w:t>406,809.50</w:t>
      </w:r>
      <w:r>
        <w:rPr>
          <w:rFonts w:ascii="Times New Roman" w:eastAsia="宋体" w:hAnsi="Times New Roman"/>
          <w:color w:val="auto"/>
          <w:kern w:val="0"/>
        </w:rPr>
        <w:t>万</w:t>
      </w:r>
      <w:r>
        <w:rPr>
          <w:rFonts w:ascii="Times New Roman" w:eastAsia="宋体" w:hAnsi="Times New Roman"/>
          <w:color w:val="auto"/>
          <w:kern w:val="0"/>
        </w:rPr>
        <w:t>元</w:t>
      </w:r>
      <w:r>
        <w:rPr>
          <w:rFonts w:ascii="Times New Roman" w:eastAsia="宋体" w:hAnsi="Times New Roman" w:hint="eastAsia"/>
          <w:color w:val="auto"/>
          <w:kern w:val="0"/>
        </w:rPr>
        <w:t>；</w:t>
      </w:r>
      <w:r>
        <w:rPr>
          <w:rFonts w:ascii="Times New Roman" w:eastAsia="宋体" w:hAnsi="Times New Roman"/>
          <w:color w:val="auto"/>
          <w:kern w:val="0"/>
        </w:rPr>
        <w:t>创业板发行</w:t>
      </w:r>
      <w:r>
        <w:rPr>
          <w:rFonts w:ascii="Times New Roman" w:eastAsia="宋体" w:hAnsi="Times New Roman" w:hint="eastAsia"/>
          <w:color w:val="auto"/>
          <w:kern w:val="0"/>
        </w:rPr>
        <w:t>5</w:t>
      </w:r>
      <w:r>
        <w:rPr>
          <w:rFonts w:ascii="Times New Roman" w:eastAsia="宋体" w:hAnsi="Times New Roman"/>
          <w:color w:val="auto"/>
          <w:kern w:val="0"/>
        </w:rPr>
        <w:t>家，共发行</w:t>
      </w:r>
      <w:r>
        <w:rPr>
          <w:rFonts w:ascii="Times New Roman" w:eastAsia="宋体" w:hAnsi="Times New Roman" w:hint="eastAsia"/>
          <w:color w:val="auto"/>
          <w:kern w:val="0"/>
          <w:szCs w:val="24"/>
          <w:lang/>
        </w:rPr>
        <w:t>43,597.32</w:t>
      </w:r>
      <w:r>
        <w:rPr>
          <w:rFonts w:ascii="Times New Roman" w:eastAsia="宋体" w:hAnsi="Times New Roman"/>
          <w:color w:val="auto"/>
          <w:kern w:val="0"/>
        </w:rPr>
        <w:t>万</w:t>
      </w:r>
      <w:r>
        <w:rPr>
          <w:rFonts w:ascii="Times New Roman" w:eastAsia="宋体" w:hAnsi="Times New Roman"/>
          <w:color w:val="auto"/>
          <w:kern w:val="0"/>
        </w:rPr>
        <w:t>股，募集资金</w:t>
      </w:r>
      <w:r>
        <w:rPr>
          <w:rFonts w:ascii="Times New Roman" w:eastAsia="宋体" w:hAnsi="Times New Roman" w:hint="eastAsia"/>
          <w:color w:val="auto"/>
          <w:szCs w:val="24"/>
        </w:rPr>
        <w:t>1,174,064.14</w:t>
      </w:r>
      <w:r>
        <w:rPr>
          <w:rFonts w:ascii="Times New Roman" w:eastAsia="宋体" w:hAnsi="Times New Roman"/>
          <w:color w:val="auto"/>
          <w:kern w:val="0"/>
        </w:rPr>
        <w:t>万元；科创板发行</w:t>
      </w:r>
      <w:r>
        <w:rPr>
          <w:rFonts w:ascii="Times New Roman" w:eastAsia="宋体" w:hAnsi="Times New Roman"/>
          <w:color w:val="auto"/>
          <w:kern w:val="0"/>
        </w:rPr>
        <w:t>3</w:t>
      </w:r>
      <w:r>
        <w:rPr>
          <w:rFonts w:ascii="Times New Roman" w:eastAsia="宋体" w:hAnsi="Times New Roman"/>
          <w:color w:val="auto"/>
          <w:kern w:val="0"/>
        </w:rPr>
        <w:t>家，共发行</w:t>
      </w:r>
      <w:r w:rsidR="005B7551">
        <w:rPr>
          <w:rFonts w:ascii="Times New Roman" w:eastAsia="宋体" w:hAnsi="Times New Roman" w:hint="eastAsia"/>
          <w:color w:val="auto"/>
          <w:kern w:val="0"/>
          <w:szCs w:val="24"/>
          <w:lang/>
        </w:rPr>
        <w:fldChar w:fldCharType="begin"/>
      </w:r>
      <w:r>
        <w:rPr>
          <w:rFonts w:ascii="Times New Roman" w:eastAsia="宋体" w:hAnsi="Times New Roman" w:hint="eastAsia"/>
          <w:color w:val="auto"/>
          <w:kern w:val="0"/>
          <w:szCs w:val="24"/>
          <w:lang/>
        </w:rPr>
        <w:instrText xml:space="preserve"> = sum(F2:F4) \* MERGEFORMAT </w:instrText>
      </w:r>
      <w:r w:rsidR="005B7551">
        <w:rPr>
          <w:rFonts w:ascii="Times New Roman" w:eastAsia="宋体" w:hAnsi="Times New Roman" w:hint="eastAsia"/>
          <w:color w:val="auto"/>
          <w:kern w:val="0"/>
          <w:szCs w:val="24"/>
          <w:lang/>
        </w:rPr>
        <w:fldChar w:fldCharType="separate"/>
      </w:r>
      <w:r>
        <w:rPr>
          <w:rFonts w:ascii="Times New Roman" w:eastAsia="宋体" w:hAnsi="Times New Roman" w:hint="eastAsia"/>
          <w:color w:val="auto"/>
          <w:kern w:val="0"/>
          <w:szCs w:val="24"/>
          <w:lang/>
        </w:rPr>
        <w:t>5,931.47</w:t>
      </w:r>
      <w:r w:rsidR="005B7551">
        <w:rPr>
          <w:rFonts w:ascii="Times New Roman" w:eastAsia="宋体" w:hAnsi="Times New Roman" w:hint="eastAsia"/>
          <w:color w:val="auto"/>
          <w:kern w:val="0"/>
          <w:szCs w:val="24"/>
          <w:lang/>
        </w:rPr>
        <w:fldChar w:fldCharType="end"/>
      </w:r>
      <w:r>
        <w:rPr>
          <w:rFonts w:ascii="Times New Roman" w:eastAsia="宋体" w:hAnsi="Times New Roman"/>
          <w:color w:val="auto"/>
          <w:kern w:val="0"/>
        </w:rPr>
        <w:t>万</w:t>
      </w:r>
      <w:r>
        <w:rPr>
          <w:rFonts w:ascii="Times New Roman" w:eastAsia="宋体" w:hAnsi="Times New Roman"/>
          <w:color w:val="auto"/>
          <w:kern w:val="0"/>
        </w:rPr>
        <w:t>股，募集资金</w:t>
      </w:r>
      <w:r w:rsidR="005B7551">
        <w:rPr>
          <w:rFonts w:ascii="Times New Roman" w:eastAsia="宋体" w:hAnsi="Times New Roman" w:hint="eastAsia"/>
          <w:color w:val="auto"/>
          <w:kern w:val="0"/>
          <w:szCs w:val="24"/>
          <w:lang/>
        </w:rPr>
        <w:fldChar w:fldCharType="begin"/>
      </w:r>
      <w:r>
        <w:rPr>
          <w:rFonts w:ascii="Times New Roman" w:eastAsia="宋体" w:hAnsi="Times New Roman" w:hint="eastAsia"/>
          <w:color w:val="auto"/>
          <w:kern w:val="0"/>
          <w:szCs w:val="24"/>
          <w:lang/>
        </w:rPr>
        <w:instrText xml:space="preserve"> = sum(C2:C4) \* MERGEFORMAT </w:instrText>
      </w:r>
      <w:r w:rsidR="005B7551">
        <w:rPr>
          <w:rFonts w:ascii="Times New Roman" w:eastAsia="宋体" w:hAnsi="Times New Roman" w:hint="eastAsia"/>
          <w:color w:val="auto"/>
          <w:kern w:val="0"/>
          <w:szCs w:val="24"/>
          <w:lang/>
        </w:rPr>
        <w:fldChar w:fldCharType="separate"/>
      </w:r>
      <w:r>
        <w:rPr>
          <w:rFonts w:ascii="Times New Roman" w:eastAsia="宋体" w:hAnsi="Times New Roman" w:hint="eastAsia"/>
          <w:color w:val="auto"/>
          <w:kern w:val="0"/>
          <w:szCs w:val="24"/>
          <w:lang/>
        </w:rPr>
        <w:t>348,66</w:t>
      </w:r>
      <w:r>
        <w:rPr>
          <w:rFonts w:ascii="Times New Roman" w:eastAsia="宋体" w:hAnsi="Times New Roman"/>
          <w:color w:val="auto"/>
          <w:kern w:val="0"/>
          <w:szCs w:val="24"/>
          <w:lang/>
        </w:rPr>
        <w:t>6</w:t>
      </w:r>
      <w:r w:rsidR="005B7551">
        <w:rPr>
          <w:rFonts w:ascii="Times New Roman" w:eastAsia="宋体" w:hAnsi="Times New Roman" w:hint="eastAsia"/>
          <w:color w:val="auto"/>
          <w:kern w:val="0"/>
          <w:szCs w:val="24"/>
          <w:lang/>
        </w:rPr>
        <w:fldChar w:fldCharType="end"/>
      </w:r>
      <w:r>
        <w:rPr>
          <w:rFonts w:ascii="Times New Roman" w:eastAsia="宋体" w:hAnsi="Times New Roman"/>
          <w:color w:val="auto"/>
          <w:kern w:val="0"/>
        </w:rPr>
        <w:t>万元</w:t>
      </w:r>
      <w:r>
        <w:rPr>
          <w:rFonts w:ascii="Times New Roman" w:eastAsia="宋体" w:hAnsi="Times New Roman"/>
          <w:color w:val="auto"/>
          <w:kern w:val="0"/>
        </w:rPr>
        <w:t>；北交所发行</w:t>
      </w:r>
      <w:r>
        <w:rPr>
          <w:rFonts w:ascii="Times New Roman" w:eastAsia="宋体" w:hAnsi="Times New Roman" w:hint="eastAsia"/>
          <w:color w:val="auto"/>
          <w:kern w:val="0"/>
        </w:rPr>
        <w:t>9</w:t>
      </w:r>
      <w:r>
        <w:rPr>
          <w:rFonts w:ascii="Times New Roman" w:eastAsia="宋体" w:hAnsi="Times New Roman"/>
          <w:color w:val="auto"/>
          <w:kern w:val="0"/>
        </w:rPr>
        <w:t>家，共发行</w:t>
      </w:r>
      <w:r w:rsidR="005B7551">
        <w:rPr>
          <w:rFonts w:ascii="Times New Roman" w:eastAsia="宋体" w:hAnsi="Times New Roman" w:hint="eastAsia"/>
          <w:color w:val="auto"/>
        </w:rPr>
        <w:fldChar w:fldCharType="begin"/>
      </w:r>
      <w:r>
        <w:rPr>
          <w:rFonts w:ascii="Times New Roman" w:eastAsia="宋体" w:hAnsi="Times New Roman" w:hint="eastAsia"/>
          <w:color w:val="auto"/>
        </w:rPr>
        <w:instrText xml:space="preserve"> = sum(F2:F5) \* MERGEFORMAT </w:instrText>
      </w:r>
      <w:r w:rsidR="005B7551">
        <w:rPr>
          <w:rFonts w:ascii="Times New Roman" w:eastAsia="宋体" w:hAnsi="Times New Roman" w:hint="eastAsia"/>
          <w:color w:val="auto"/>
        </w:rPr>
        <w:fldChar w:fldCharType="separate"/>
      </w:r>
      <w:r>
        <w:rPr>
          <w:rFonts w:ascii="Times New Roman" w:eastAsia="宋体" w:hAnsi="Times New Roman" w:hint="eastAsia"/>
          <w:color w:val="auto"/>
        </w:rPr>
        <w:t>15,672.57</w:t>
      </w:r>
      <w:r w:rsidR="005B7551">
        <w:rPr>
          <w:rFonts w:ascii="Times New Roman" w:eastAsia="宋体" w:hAnsi="Times New Roman" w:hint="eastAsia"/>
          <w:color w:val="auto"/>
        </w:rPr>
        <w:fldChar w:fldCharType="end"/>
      </w:r>
      <w:r>
        <w:rPr>
          <w:rFonts w:ascii="Times New Roman" w:eastAsia="宋体" w:hAnsi="Times New Roman"/>
          <w:color w:val="auto"/>
          <w:kern w:val="0"/>
        </w:rPr>
        <w:t>万股，募集资金</w:t>
      </w:r>
      <w:r w:rsidR="005B7551">
        <w:rPr>
          <w:rFonts w:ascii="Times New Roman" w:eastAsia="宋体" w:hAnsi="Times New Roman" w:hint="eastAsia"/>
          <w:color w:val="auto"/>
          <w:kern w:val="0"/>
        </w:rPr>
        <w:fldChar w:fldCharType="begin"/>
      </w:r>
      <w:r>
        <w:rPr>
          <w:rFonts w:ascii="Times New Roman" w:eastAsia="宋体" w:hAnsi="Times New Roman" w:hint="eastAsia"/>
          <w:color w:val="auto"/>
          <w:kern w:val="0"/>
        </w:rPr>
        <w:instrText xml:space="preserve"> = sum(C2:C5) \* MERGEFORMAT </w:instrText>
      </w:r>
      <w:r w:rsidR="005B7551">
        <w:rPr>
          <w:rFonts w:ascii="Times New Roman" w:eastAsia="宋体" w:hAnsi="Times New Roman" w:hint="eastAsia"/>
          <w:color w:val="auto"/>
          <w:kern w:val="0"/>
        </w:rPr>
        <w:fldChar w:fldCharType="separate"/>
      </w:r>
      <w:r>
        <w:rPr>
          <w:rFonts w:ascii="Times New Roman" w:eastAsia="宋体" w:hAnsi="Times New Roman" w:hint="eastAsia"/>
          <w:color w:val="auto"/>
          <w:kern w:val="0"/>
        </w:rPr>
        <w:t>104,727.29</w:t>
      </w:r>
      <w:r w:rsidR="005B7551">
        <w:rPr>
          <w:rFonts w:ascii="Times New Roman" w:eastAsia="宋体" w:hAnsi="Times New Roman" w:hint="eastAsia"/>
          <w:color w:val="auto"/>
          <w:kern w:val="0"/>
        </w:rPr>
        <w:fldChar w:fldCharType="end"/>
      </w:r>
      <w:r>
        <w:rPr>
          <w:rFonts w:ascii="Times New Roman" w:eastAsia="宋体" w:hAnsi="Times New Roman"/>
          <w:color w:val="auto"/>
          <w:kern w:val="0"/>
        </w:rPr>
        <w:t>万元。</w:t>
      </w:r>
    </w:p>
    <w:p w:rsidR="005B7551" w:rsidRDefault="00252D0C" w:rsidP="000334EE">
      <w:pPr>
        <w:numPr>
          <w:ilvl w:val="1"/>
          <w:numId w:val="1"/>
        </w:numPr>
        <w:tabs>
          <w:tab w:val="clear" w:pos="846"/>
          <w:tab w:val="left" w:pos="0"/>
          <w:tab w:val="left" w:pos="840"/>
        </w:tabs>
        <w:spacing w:afterLines="50" w:line="360" w:lineRule="auto"/>
        <w:ind w:left="0" w:firstLineChars="200" w:firstLine="480"/>
        <w:rPr>
          <w:rFonts w:ascii="Times New Roman" w:eastAsia="宋体" w:hAnsi="Times New Roman"/>
          <w:color w:val="auto"/>
          <w:szCs w:val="24"/>
        </w:rPr>
      </w:pPr>
      <w:r>
        <w:rPr>
          <w:rFonts w:ascii="Times New Roman" w:eastAsia="宋体" w:hAnsi="Times New Roman"/>
          <w:color w:val="auto"/>
          <w:szCs w:val="24"/>
        </w:rPr>
        <w:t>202</w:t>
      </w:r>
      <w:r>
        <w:rPr>
          <w:rFonts w:ascii="Times New Roman" w:eastAsia="宋体" w:hAnsi="Times New Roman" w:hint="eastAsia"/>
          <w:color w:val="auto"/>
          <w:szCs w:val="24"/>
        </w:rPr>
        <w:t>3</w:t>
      </w:r>
      <w:r>
        <w:rPr>
          <w:rFonts w:ascii="Times New Roman" w:eastAsia="宋体" w:hAnsi="Times New Roman"/>
          <w:color w:val="auto"/>
          <w:szCs w:val="24"/>
        </w:rPr>
        <w:t>年</w:t>
      </w:r>
      <w:r>
        <w:rPr>
          <w:rFonts w:ascii="Times New Roman" w:eastAsia="宋体" w:hAnsi="Times New Roman" w:hint="eastAsia"/>
          <w:color w:val="auto"/>
          <w:szCs w:val="24"/>
        </w:rPr>
        <w:t>2</w:t>
      </w:r>
      <w:r>
        <w:rPr>
          <w:rFonts w:ascii="Times New Roman" w:eastAsia="宋体" w:hAnsi="Times New Roman"/>
          <w:color w:val="auto"/>
          <w:szCs w:val="24"/>
        </w:rPr>
        <w:t>月完成首次公开发行公司情况</w:t>
      </w:r>
    </w:p>
    <w:p w:rsidR="005B7551" w:rsidRDefault="00252D0C" w:rsidP="000334EE">
      <w:pPr>
        <w:numPr>
          <w:ilvl w:val="0"/>
          <w:numId w:val="2"/>
        </w:numPr>
        <w:tabs>
          <w:tab w:val="left" w:pos="0"/>
          <w:tab w:val="left" w:pos="840"/>
        </w:tabs>
        <w:spacing w:afterLines="50" w:line="360" w:lineRule="auto"/>
        <w:rPr>
          <w:rFonts w:ascii="Times New Roman" w:eastAsia="宋体" w:hAnsi="Times New Roman"/>
          <w:color w:val="auto"/>
          <w:szCs w:val="24"/>
        </w:rPr>
      </w:pPr>
      <w:r>
        <w:rPr>
          <w:rFonts w:ascii="Times New Roman" w:eastAsia="宋体" w:hAnsi="Times New Roman" w:hint="eastAsia"/>
          <w:color w:val="auto"/>
          <w:szCs w:val="24"/>
        </w:rPr>
        <w:t>深主板</w:t>
      </w:r>
      <w:r>
        <w:rPr>
          <w:rFonts w:ascii="Times New Roman" w:eastAsia="宋体" w:hAnsi="Times New Roman"/>
          <w:color w:val="auto"/>
          <w:szCs w:val="24"/>
        </w:rPr>
        <w:t>IPO</w:t>
      </w:r>
      <w:r>
        <w:rPr>
          <w:rFonts w:ascii="Times New Roman" w:eastAsia="宋体" w:hAnsi="Times New Roman"/>
          <w:color w:val="auto"/>
          <w:szCs w:val="24"/>
        </w:rPr>
        <w:t>发行公司情况</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37"/>
        <w:gridCol w:w="1393"/>
        <w:gridCol w:w="1755"/>
        <w:gridCol w:w="1382"/>
        <w:gridCol w:w="1736"/>
        <w:gridCol w:w="1785"/>
      </w:tblGrid>
      <w:tr w:rsidR="005B7551">
        <w:trPr>
          <w:trHeight w:hRule="exact" w:val="624"/>
          <w:tblHeader/>
        </w:trPr>
        <w:tc>
          <w:tcPr>
            <w:tcW w:w="1237"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代码</w:t>
            </w:r>
          </w:p>
        </w:tc>
        <w:tc>
          <w:tcPr>
            <w:tcW w:w="1393"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股票简称</w:t>
            </w:r>
          </w:p>
        </w:tc>
        <w:tc>
          <w:tcPr>
            <w:tcW w:w="1755"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募集资金总额（万元）</w:t>
            </w:r>
          </w:p>
        </w:tc>
        <w:tc>
          <w:tcPr>
            <w:tcW w:w="1382"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上市日期</w:t>
            </w:r>
          </w:p>
        </w:tc>
        <w:tc>
          <w:tcPr>
            <w:tcW w:w="1736"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bCs/>
                <w:color w:val="auto"/>
                <w:szCs w:val="24"/>
              </w:rPr>
              <w:t>发行价（元）</w:t>
            </w:r>
          </w:p>
        </w:tc>
        <w:tc>
          <w:tcPr>
            <w:tcW w:w="1785" w:type="dxa"/>
            <w:shd w:val="solid" w:color="C0C0C0" w:fill="auto"/>
            <w:vAlign w:val="center"/>
          </w:tcPr>
          <w:p w:rsidR="005B7551" w:rsidRDefault="00252D0C">
            <w:pPr>
              <w:shd w:val="solid" w:color="C0C0C0" w:fill="auto"/>
              <w:autoSpaceDN w:val="0"/>
              <w:jc w:val="right"/>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发行量（万股）</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001314</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亿道信息</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 xml:space="preserve">122,890.25  </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14</w:t>
            </w:r>
            <w:r>
              <w:rPr>
                <w:rFonts w:ascii="Times New Roman" w:eastAsia="宋体" w:hAnsi="Times New Roman" w:hint="eastAsia"/>
                <w:color w:val="auto"/>
                <w:szCs w:val="24"/>
              </w:rPr>
              <w:t xml:space="preserve"> </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35</w:t>
            </w:r>
            <w:r>
              <w:rPr>
                <w:rFonts w:ascii="Times New Roman" w:eastAsia="宋体" w:hAnsi="Times New Roman"/>
                <w:color w:val="auto"/>
                <w:szCs w:val="24"/>
              </w:rPr>
              <w:t>.</w:t>
            </w:r>
            <w:r>
              <w:rPr>
                <w:rFonts w:ascii="Times New Roman" w:eastAsia="宋体" w:hAnsi="Times New Roman" w:hint="eastAsia"/>
                <w:color w:val="auto"/>
                <w:szCs w:val="24"/>
              </w:rPr>
              <w:t>00</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szCs w:val="24"/>
              </w:rPr>
            </w:pPr>
            <w:r>
              <w:rPr>
                <w:rFonts w:ascii="Times New Roman" w:eastAsia="宋体" w:hAnsi="Times New Roman" w:hint="eastAsia"/>
                <w:color w:val="auto"/>
                <w:kern w:val="0"/>
                <w:szCs w:val="24"/>
                <w:lang/>
              </w:rPr>
              <w:t>3,511.15</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001260</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坤泰股份</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kern w:val="0"/>
                <w:szCs w:val="24"/>
                <w:lang/>
              </w:rPr>
              <w:t>41,026.25</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16</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14.27</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2,875.00</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001225</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和泰机电</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75,676.79</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22</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46.81</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1,616.68</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001311</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多利科技</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218,607.13</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w:t>
            </w:r>
            <w:r>
              <w:rPr>
                <w:rFonts w:ascii="Times New Roman" w:eastAsia="宋体" w:hAnsi="Times New Roman" w:hint="eastAsia"/>
                <w:color w:val="auto"/>
                <w:szCs w:val="24"/>
              </w:rPr>
              <w:t>-0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27</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61.87</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3,533.33</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总计</w:t>
            </w:r>
          </w:p>
        </w:tc>
        <w:tc>
          <w:tcPr>
            <w:tcW w:w="1393" w:type="dxa"/>
            <w:shd w:val="solid" w:color="FFFFFF" w:fill="auto"/>
            <w:vAlign w:val="center"/>
          </w:tcPr>
          <w:p w:rsidR="005B7551" w:rsidRDefault="005B7551">
            <w:pPr>
              <w:shd w:val="solid" w:color="FFFFFF" w:fill="auto"/>
              <w:autoSpaceDN w:val="0"/>
              <w:jc w:val="center"/>
              <w:textAlignment w:val="center"/>
              <w:rPr>
                <w:rFonts w:ascii="Times New Roman" w:eastAsia="宋体" w:hAnsi="Times New Roman"/>
                <w:color w:val="auto"/>
                <w:szCs w:val="24"/>
              </w:rPr>
            </w:pP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458,200.42</w:t>
            </w:r>
          </w:p>
        </w:tc>
        <w:tc>
          <w:tcPr>
            <w:tcW w:w="1382" w:type="dxa"/>
            <w:shd w:val="solid" w:color="FFFFFF" w:fill="auto"/>
            <w:vAlign w:val="center"/>
          </w:tcPr>
          <w:p w:rsidR="005B7551" w:rsidRDefault="005B7551">
            <w:pPr>
              <w:shd w:val="solid" w:color="FFFFFF" w:fill="auto"/>
              <w:autoSpaceDN w:val="0"/>
              <w:jc w:val="center"/>
              <w:textAlignment w:val="center"/>
              <w:rPr>
                <w:rFonts w:ascii="Times New Roman" w:eastAsia="宋体" w:hAnsi="Times New Roman"/>
                <w:color w:val="auto"/>
                <w:szCs w:val="24"/>
              </w:rPr>
            </w:pPr>
          </w:p>
        </w:tc>
        <w:tc>
          <w:tcPr>
            <w:tcW w:w="1736" w:type="dxa"/>
            <w:shd w:val="solid" w:color="FFFFFF" w:fill="auto"/>
            <w:vAlign w:val="center"/>
          </w:tcPr>
          <w:p w:rsidR="005B7551" w:rsidRDefault="005B7551">
            <w:pPr>
              <w:shd w:val="solid" w:color="FFFFFF" w:fill="auto"/>
              <w:autoSpaceDN w:val="0"/>
              <w:jc w:val="right"/>
              <w:textAlignment w:val="center"/>
              <w:rPr>
                <w:rFonts w:ascii="Times New Roman" w:eastAsia="宋体" w:hAnsi="Times New Roman"/>
                <w:color w:val="auto"/>
                <w:szCs w:val="24"/>
              </w:rPr>
            </w:pP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11,536.16</w:t>
            </w:r>
          </w:p>
        </w:tc>
      </w:tr>
    </w:tbl>
    <w:p w:rsidR="005B7551" w:rsidRDefault="005B7551">
      <w:pPr>
        <w:tabs>
          <w:tab w:val="left" w:pos="0"/>
          <w:tab w:val="left" w:pos="4680"/>
        </w:tabs>
        <w:rPr>
          <w:rFonts w:ascii="Times New Roman" w:eastAsia="宋体" w:hAnsi="Times New Roman"/>
          <w:color w:val="auto"/>
          <w:szCs w:val="24"/>
        </w:rPr>
      </w:pPr>
    </w:p>
    <w:p w:rsidR="005B7551" w:rsidRDefault="00252D0C" w:rsidP="000334EE">
      <w:pPr>
        <w:tabs>
          <w:tab w:val="left" w:pos="0"/>
          <w:tab w:val="left" w:pos="840"/>
        </w:tabs>
        <w:spacing w:afterLines="50" w:line="360" w:lineRule="auto"/>
        <w:ind w:firstLineChars="200" w:firstLine="480"/>
        <w:rPr>
          <w:rFonts w:ascii="Times New Roman" w:eastAsia="宋体" w:hAnsi="Times New Roman"/>
          <w:color w:val="auto"/>
          <w:szCs w:val="24"/>
        </w:rPr>
      </w:pPr>
      <w:r>
        <w:rPr>
          <w:rFonts w:ascii="Times New Roman" w:eastAsia="宋体" w:hAnsi="Times New Roman" w:hint="eastAsia"/>
          <w:color w:val="auto"/>
          <w:szCs w:val="24"/>
        </w:rPr>
        <w:lastRenderedPageBreak/>
        <w:t>（</w:t>
      </w:r>
      <w:r>
        <w:rPr>
          <w:rFonts w:ascii="Times New Roman" w:eastAsia="宋体" w:hAnsi="Times New Roman" w:hint="eastAsia"/>
          <w:color w:val="auto"/>
          <w:szCs w:val="24"/>
        </w:rPr>
        <w:t>2</w:t>
      </w:r>
      <w:r>
        <w:rPr>
          <w:rFonts w:ascii="Times New Roman" w:eastAsia="宋体" w:hAnsi="Times New Roman" w:hint="eastAsia"/>
          <w:color w:val="auto"/>
          <w:szCs w:val="24"/>
        </w:rPr>
        <w:t>）沪主板</w:t>
      </w:r>
      <w:r>
        <w:rPr>
          <w:rFonts w:ascii="Times New Roman" w:eastAsia="宋体" w:hAnsi="Times New Roman"/>
          <w:color w:val="auto"/>
          <w:szCs w:val="24"/>
        </w:rPr>
        <w:t>IPO</w:t>
      </w:r>
      <w:r>
        <w:rPr>
          <w:rFonts w:ascii="Times New Roman" w:eastAsia="宋体" w:hAnsi="Times New Roman"/>
          <w:color w:val="auto"/>
          <w:szCs w:val="24"/>
        </w:rPr>
        <w:t>发行公司情况</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37"/>
        <w:gridCol w:w="1393"/>
        <w:gridCol w:w="1755"/>
        <w:gridCol w:w="1382"/>
        <w:gridCol w:w="1736"/>
        <w:gridCol w:w="1785"/>
      </w:tblGrid>
      <w:tr w:rsidR="005B7551">
        <w:trPr>
          <w:trHeight w:hRule="exact" w:val="624"/>
          <w:tblHeader/>
        </w:trPr>
        <w:tc>
          <w:tcPr>
            <w:tcW w:w="1237"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代码</w:t>
            </w:r>
          </w:p>
        </w:tc>
        <w:tc>
          <w:tcPr>
            <w:tcW w:w="1393"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股票简称</w:t>
            </w:r>
          </w:p>
        </w:tc>
        <w:tc>
          <w:tcPr>
            <w:tcW w:w="1755"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募集资金总额（万元）</w:t>
            </w:r>
          </w:p>
        </w:tc>
        <w:tc>
          <w:tcPr>
            <w:tcW w:w="1382"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上市日期</w:t>
            </w:r>
          </w:p>
        </w:tc>
        <w:tc>
          <w:tcPr>
            <w:tcW w:w="1736"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bCs/>
                <w:color w:val="auto"/>
                <w:szCs w:val="24"/>
              </w:rPr>
              <w:t>发行价（元）</w:t>
            </w:r>
          </w:p>
        </w:tc>
        <w:tc>
          <w:tcPr>
            <w:tcW w:w="1785" w:type="dxa"/>
            <w:shd w:val="solid" w:color="C0C0C0" w:fill="auto"/>
            <w:vAlign w:val="center"/>
          </w:tcPr>
          <w:p w:rsidR="005B7551" w:rsidRDefault="00252D0C">
            <w:pPr>
              <w:shd w:val="solid" w:color="C0C0C0" w:fill="auto"/>
              <w:autoSpaceDN w:val="0"/>
              <w:jc w:val="right"/>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发行量（万股）</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601059</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信达证券</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 xml:space="preserve">267,547.50  </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01</w:t>
            </w:r>
            <w:r>
              <w:rPr>
                <w:rFonts w:ascii="Times New Roman" w:eastAsia="宋体" w:hAnsi="Times New Roman" w:hint="eastAsia"/>
                <w:color w:val="auto"/>
                <w:szCs w:val="24"/>
              </w:rPr>
              <w:t xml:space="preserve"> </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8</w:t>
            </w:r>
            <w:r>
              <w:rPr>
                <w:rFonts w:ascii="Times New Roman" w:eastAsia="宋体" w:hAnsi="Times New Roman"/>
                <w:color w:val="auto"/>
                <w:szCs w:val="24"/>
              </w:rPr>
              <w:t>.</w:t>
            </w:r>
            <w:r>
              <w:rPr>
                <w:rFonts w:ascii="Times New Roman" w:eastAsia="宋体" w:hAnsi="Times New Roman" w:hint="eastAsia"/>
                <w:color w:val="auto"/>
                <w:szCs w:val="24"/>
              </w:rPr>
              <w:t>25</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szCs w:val="24"/>
              </w:rPr>
            </w:pPr>
            <w:r>
              <w:rPr>
                <w:rFonts w:ascii="Times New Roman" w:eastAsia="宋体" w:hAnsi="Times New Roman" w:hint="eastAsia"/>
                <w:color w:val="auto"/>
                <w:kern w:val="0"/>
                <w:szCs w:val="24"/>
                <w:lang/>
              </w:rPr>
              <w:t>32,430.00</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603307</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扬州金泉</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kern w:val="0"/>
                <w:szCs w:val="24"/>
                <w:lang/>
              </w:rPr>
              <w:t>51,992.00</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16</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31.04</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1,675.00</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603190</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亚通精工</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kern w:val="0"/>
                <w:szCs w:val="24"/>
                <w:lang/>
              </w:rPr>
              <w:t>87,270.00</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17</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29.09</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3,000.00</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总计</w:t>
            </w:r>
          </w:p>
        </w:tc>
        <w:tc>
          <w:tcPr>
            <w:tcW w:w="1393" w:type="dxa"/>
            <w:shd w:val="solid" w:color="FFFFFF" w:fill="auto"/>
            <w:vAlign w:val="center"/>
          </w:tcPr>
          <w:p w:rsidR="005B7551" w:rsidRDefault="005B7551">
            <w:pPr>
              <w:shd w:val="solid" w:color="FFFFFF" w:fill="auto"/>
              <w:autoSpaceDN w:val="0"/>
              <w:jc w:val="center"/>
              <w:textAlignment w:val="center"/>
              <w:rPr>
                <w:rFonts w:ascii="Times New Roman" w:eastAsia="宋体" w:hAnsi="Times New Roman"/>
                <w:color w:val="auto"/>
                <w:szCs w:val="24"/>
              </w:rPr>
            </w:pP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406,809.50</w:t>
            </w:r>
          </w:p>
        </w:tc>
        <w:tc>
          <w:tcPr>
            <w:tcW w:w="1382" w:type="dxa"/>
            <w:shd w:val="solid" w:color="FFFFFF" w:fill="auto"/>
            <w:vAlign w:val="center"/>
          </w:tcPr>
          <w:p w:rsidR="005B7551" w:rsidRDefault="005B7551">
            <w:pPr>
              <w:shd w:val="solid" w:color="FFFFFF" w:fill="auto"/>
              <w:autoSpaceDN w:val="0"/>
              <w:jc w:val="center"/>
              <w:textAlignment w:val="center"/>
              <w:rPr>
                <w:rFonts w:ascii="Times New Roman" w:eastAsia="宋体" w:hAnsi="Times New Roman"/>
                <w:color w:val="auto"/>
                <w:szCs w:val="24"/>
              </w:rPr>
            </w:pPr>
          </w:p>
        </w:tc>
        <w:tc>
          <w:tcPr>
            <w:tcW w:w="1736" w:type="dxa"/>
            <w:shd w:val="solid" w:color="FFFFFF" w:fill="auto"/>
            <w:vAlign w:val="center"/>
          </w:tcPr>
          <w:p w:rsidR="005B7551" w:rsidRDefault="005B7551">
            <w:pPr>
              <w:shd w:val="solid" w:color="FFFFFF" w:fill="auto"/>
              <w:autoSpaceDN w:val="0"/>
              <w:jc w:val="right"/>
              <w:textAlignment w:val="center"/>
              <w:rPr>
                <w:rFonts w:ascii="Times New Roman" w:eastAsia="宋体" w:hAnsi="Times New Roman"/>
                <w:color w:val="auto"/>
                <w:szCs w:val="24"/>
              </w:rPr>
            </w:pP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37,105.00</w:t>
            </w:r>
          </w:p>
        </w:tc>
      </w:tr>
    </w:tbl>
    <w:p w:rsidR="005B7551" w:rsidRDefault="005B7551">
      <w:pPr>
        <w:tabs>
          <w:tab w:val="left" w:pos="0"/>
          <w:tab w:val="left" w:pos="4680"/>
        </w:tabs>
        <w:rPr>
          <w:rFonts w:ascii="Times New Roman" w:eastAsia="宋体" w:hAnsi="Times New Roman"/>
          <w:color w:val="auto"/>
          <w:szCs w:val="24"/>
        </w:rPr>
      </w:pPr>
    </w:p>
    <w:p w:rsidR="005B7551" w:rsidRDefault="00252D0C" w:rsidP="000334EE">
      <w:pPr>
        <w:tabs>
          <w:tab w:val="left" w:pos="0"/>
          <w:tab w:val="left" w:pos="4680"/>
        </w:tabs>
        <w:spacing w:afterLines="50" w:line="360" w:lineRule="auto"/>
        <w:ind w:firstLineChars="200" w:firstLine="480"/>
        <w:rPr>
          <w:rFonts w:ascii="Times New Roman" w:eastAsia="宋体" w:hAnsi="Times New Roman"/>
          <w:color w:val="auto"/>
          <w:szCs w:val="24"/>
        </w:rPr>
      </w:pPr>
      <w:r>
        <w:rPr>
          <w:rFonts w:ascii="Times New Roman" w:eastAsia="宋体" w:hAnsi="Times New Roman" w:hint="eastAsia"/>
          <w:color w:val="auto"/>
          <w:szCs w:val="24"/>
        </w:rPr>
        <w:t>（</w:t>
      </w:r>
      <w:r>
        <w:rPr>
          <w:rFonts w:ascii="Times New Roman" w:eastAsia="宋体" w:hAnsi="Times New Roman" w:hint="eastAsia"/>
          <w:color w:val="auto"/>
          <w:szCs w:val="24"/>
        </w:rPr>
        <w:t>3</w:t>
      </w:r>
      <w:r>
        <w:rPr>
          <w:rFonts w:ascii="Times New Roman" w:eastAsia="宋体" w:hAnsi="Times New Roman" w:hint="eastAsia"/>
          <w:color w:val="auto"/>
          <w:szCs w:val="24"/>
        </w:rPr>
        <w:t>）创业板</w:t>
      </w:r>
      <w:r>
        <w:rPr>
          <w:rFonts w:ascii="Times New Roman" w:eastAsia="宋体" w:hAnsi="Times New Roman" w:hint="eastAsia"/>
          <w:color w:val="auto"/>
          <w:szCs w:val="24"/>
        </w:rPr>
        <w:t>IPO</w:t>
      </w:r>
      <w:r>
        <w:rPr>
          <w:rFonts w:ascii="Times New Roman" w:eastAsia="宋体" w:hAnsi="Times New Roman" w:hint="eastAsia"/>
          <w:color w:val="auto"/>
          <w:szCs w:val="24"/>
        </w:rPr>
        <w:t>发行公司情况</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37"/>
        <w:gridCol w:w="1393"/>
        <w:gridCol w:w="1755"/>
        <w:gridCol w:w="1382"/>
        <w:gridCol w:w="1736"/>
        <w:gridCol w:w="1785"/>
      </w:tblGrid>
      <w:tr w:rsidR="005B7551">
        <w:trPr>
          <w:trHeight w:hRule="exact" w:val="624"/>
          <w:tblHeader/>
        </w:trPr>
        <w:tc>
          <w:tcPr>
            <w:tcW w:w="1237"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bookmarkStart w:id="1" w:name="OLE_LINK1"/>
            <w:r>
              <w:rPr>
                <w:rFonts w:ascii="Times New Roman" w:eastAsia="宋体" w:hAnsi="Times New Roman"/>
                <w:b/>
                <w:color w:val="auto"/>
                <w:szCs w:val="24"/>
                <w:shd w:val="clear" w:color="auto" w:fill="C0C0C0"/>
              </w:rPr>
              <w:t>代码</w:t>
            </w:r>
          </w:p>
        </w:tc>
        <w:tc>
          <w:tcPr>
            <w:tcW w:w="1393"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股票简称</w:t>
            </w:r>
          </w:p>
        </w:tc>
        <w:tc>
          <w:tcPr>
            <w:tcW w:w="1755"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募集资金总额（万元）</w:t>
            </w:r>
          </w:p>
        </w:tc>
        <w:tc>
          <w:tcPr>
            <w:tcW w:w="1382"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上市日期</w:t>
            </w:r>
          </w:p>
        </w:tc>
        <w:tc>
          <w:tcPr>
            <w:tcW w:w="1736"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bCs/>
                <w:color w:val="auto"/>
                <w:szCs w:val="24"/>
              </w:rPr>
              <w:t>发行价（元）</w:t>
            </w:r>
          </w:p>
        </w:tc>
        <w:tc>
          <w:tcPr>
            <w:tcW w:w="1785" w:type="dxa"/>
            <w:shd w:val="solid" w:color="C0C0C0" w:fill="auto"/>
            <w:vAlign w:val="center"/>
          </w:tcPr>
          <w:p w:rsidR="005B7551" w:rsidRDefault="00252D0C">
            <w:pPr>
              <w:shd w:val="solid" w:color="C0C0C0" w:fill="auto"/>
              <w:autoSpaceDN w:val="0"/>
              <w:jc w:val="right"/>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发行量（万股）</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301</w:t>
            </w:r>
            <w:r>
              <w:rPr>
                <w:rFonts w:ascii="Times New Roman" w:eastAsia="宋体" w:hAnsi="Times New Roman" w:hint="eastAsia"/>
                <w:color w:val="auto"/>
                <w:szCs w:val="24"/>
              </w:rPr>
              <w:t>260</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格力博</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 xml:space="preserve">374,950.90  </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08</w:t>
            </w:r>
            <w:r>
              <w:rPr>
                <w:rFonts w:ascii="Times New Roman" w:eastAsia="宋体" w:hAnsi="Times New Roman" w:hint="eastAsia"/>
                <w:color w:val="auto"/>
                <w:szCs w:val="24"/>
              </w:rPr>
              <w:t xml:space="preserve"> </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3</w:t>
            </w:r>
            <w:r>
              <w:rPr>
                <w:rFonts w:ascii="Times New Roman" w:eastAsia="宋体" w:hAnsi="Times New Roman"/>
                <w:color w:val="auto"/>
                <w:szCs w:val="24"/>
              </w:rPr>
              <w:t>0.</w:t>
            </w:r>
            <w:r>
              <w:rPr>
                <w:rFonts w:ascii="Times New Roman" w:eastAsia="宋体" w:hAnsi="Times New Roman" w:hint="eastAsia"/>
                <w:color w:val="auto"/>
                <w:szCs w:val="24"/>
              </w:rPr>
              <w:t>85</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szCs w:val="24"/>
              </w:rPr>
            </w:pPr>
            <w:r>
              <w:rPr>
                <w:rFonts w:ascii="Times New Roman" w:eastAsia="宋体" w:hAnsi="Times New Roman" w:hint="eastAsia"/>
                <w:color w:val="auto"/>
                <w:kern w:val="0"/>
                <w:szCs w:val="24"/>
                <w:lang/>
              </w:rPr>
              <w:t>12,154.00</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301373</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凌玮科技</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91,475.76</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08</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33.73</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2,712.00</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301358</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湖南裕能</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449,997.48</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09</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23.77</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18,931.32</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301419</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阿莱德</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62,000.00</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09</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24.80</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2,500.00</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301303</w:t>
            </w:r>
          </w:p>
        </w:tc>
        <w:tc>
          <w:tcPr>
            <w:tcW w:w="1393"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真兰仪表</w:t>
            </w: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195,640.00</w:t>
            </w:r>
          </w:p>
        </w:tc>
        <w:tc>
          <w:tcPr>
            <w:tcW w:w="1382"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20</w:t>
            </w:r>
          </w:p>
        </w:tc>
        <w:tc>
          <w:tcPr>
            <w:tcW w:w="1736"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26.80</w:t>
            </w: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7,300.00</w:t>
            </w:r>
          </w:p>
        </w:tc>
      </w:tr>
      <w:tr w:rsidR="005B7551">
        <w:trPr>
          <w:trHeight w:hRule="exact" w:val="482"/>
        </w:trPr>
        <w:tc>
          <w:tcPr>
            <w:tcW w:w="1237" w:type="dxa"/>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总计</w:t>
            </w:r>
          </w:p>
        </w:tc>
        <w:tc>
          <w:tcPr>
            <w:tcW w:w="1393" w:type="dxa"/>
            <w:shd w:val="solid" w:color="FFFFFF" w:fill="auto"/>
            <w:vAlign w:val="center"/>
          </w:tcPr>
          <w:p w:rsidR="005B7551" w:rsidRDefault="005B7551">
            <w:pPr>
              <w:shd w:val="solid" w:color="FFFFFF" w:fill="auto"/>
              <w:autoSpaceDN w:val="0"/>
              <w:jc w:val="center"/>
              <w:textAlignment w:val="center"/>
              <w:rPr>
                <w:rFonts w:ascii="Times New Roman" w:eastAsia="宋体" w:hAnsi="Times New Roman"/>
                <w:color w:val="auto"/>
                <w:szCs w:val="24"/>
              </w:rPr>
            </w:pPr>
          </w:p>
        </w:tc>
        <w:tc>
          <w:tcPr>
            <w:tcW w:w="1755" w:type="dxa"/>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1,174,064.14</w:t>
            </w:r>
          </w:p>
        </w:tc>
        <w:tc>
          <w:tcPr>
            <w:tcW w:w="1382" w:type="dxa"/>
            <w:shd w:val="solid" w:color="FFFFFF" w:fill="auto"/>
            <w:vAlign w:val="center"/>
          </w:tcPr>
          <w:p w:rsidR="005B7551" w:rsidRDefault="005B7551">
            <w:pPr>
              <w:shd w:val="solid" w:color="FFFFFF" w:fill="auto"/>
              <w:autoSpaceDN w:val="0"/>
              <w:jc w:val="center"/>
              <w:textAlignment w:val="center"/>
              <w:rPr>
                <w:rFonts w:ascii="Times New Roman" w:eastAsia="宋体" w:hAnsi="Times New Roman"/>
                <w:color w:val="auto"/>
                <w:szCs w:val="24"/>
              </w:rPr>
            </w:pPr>
          </w:p>
        </w:tc>
        <w:tc>
          <w:tcPr>
            <w:tcW w:w="1736" w:type="dxa"/>
            <w:shd w:val="solid" w:color="FFFFFF" w:fill="auto"/>
            <w:vAlign w:val="center"/>
          </w:tcPr>
          <w:p w:rsidR="005B7551" w:rsidRDefault="005B7551">
            <w:pPr>
              <w:shd w:val="solid" w:color="FFFFFF" w:fill="auto"/>
              <w:autoSpaceDN w:val="0"/>
              <w:jc w:val="right"/>
              <w:textAlignment w:val="center"/>
              <w:rPr>
                <w:rFonts w:ascii="Times New Roman" w:eastAsia="宋体" w:hAnsi="Times New Roman"/>
                <w:color w:val="auto"/>
                <w:szCs w:val="24"/>
              </w:rPr>
            </w:pPr>
          </w:p>
        </w:tc>
        <w:tc>
          <w:tcPr>
            <w:tcW w:w="1785" w:type="dxa"/>
            <w:shd w:val="solid" w:color="FFFFFF" w:fill="auto"/>
            <w:vAlign w:val="center"/>
          </w:tcPr>
          <w:p w:rsidR="005B7551" w:rsidRDefault="00252D0C">
            <w:pPr>
              <w:widowControl/>
              <w:jc w:val="right"/>
              <w:textAlignment w:val="center"/>
              <w:rPr>
                <w:rFonts w:ascii="Times New Roman" w:eastAsia="宋体" w:hAnsi="Times New Roman"/>
                <w:color w:val="auto"/>
                <w:kern w:val="0"/>
                <w:szCs w:val="24"/>
                <w:lang/>
              </w:rPr>
            </w:pPr>
            <w:r>
              <w:rPr>
                <w:rFonts w:ascii="Times New Roman" w:eastAsia="宋体" w:hAnsi="Times New Roman" w:hint="eastAsia"/>
                <w:color w:val="auto"/>
                <w:kern w:val="0"/>
                <w:szCs w:val="24"/>
                <w:lang/>
              </w:rPr>
              <w:t>43,597.32</w:t>
            </w:r>
          </w:p>
        </w:tc>
      </w:tr>
      <w:bookmarkEnd w:id="1"/>
    </w:tbl>
    <w:p w:rsidR="005B7551" w:rsidRDefault="005B7551">
      <w:pPr>
        <w:tabs>
          <w:tab w:val="left" w:pos="0"/>
          <w:tab w:val="left" w:pos="4680"/>
        </w:tabs>
        <w:rPr>
          <w:rFonts w:ascii="Times New Roman" w:eastAsia="宋体" w:hAnsi="Times New Roman"/>
          <w:color w:val="auto"/>
          <w:szCs w:val="24"/>
        </w:rPr>
      </w:pPr>
    </w:p>
    <w:p w:rsidR="005B7551" w:rsidRDefault="00252D0C" w:rsidP="000334EE">
      <w:pPr>
        <w:tabs>
          <w:tab w:val="left" w:pos="0"/>
          <w:tab w:val="left" w:pos="4680"/>
        </w:tabs>
        <w:spacing w:afterLines="50" w:line="360" w:lineRule="auto"/>
        <w:ind w:firstLineChars="200" w:firstLine="480"/>
        <w:rPr>
          <w:rFonts w:ascii="Times New Roman" w:eastAsia="宋体" w:hAnsi="Times New Roman"/>
          <w:color w:val="auto"/>
          <w:szCs w:val="24"/>
        </w:rPr>
      </w:pPr>
      <w:r>
        <w:rPr>
          <w:rFonts w:ascii="Times New Roman" w:eastAsia="宋体" w:hAnsi="Times New Roman" w:hint="eastAsia"/>
          <w:color w:val="auto"/>
          <w:szCs w:val="24"/>
        </w:rPr>
        <w:t>（</w:t>
      </w:r>
      <w:r>
        <w:rPr>
          <w:rFonts w:ascii="Times New Roman" w:eastAsia="宋体" w:hAnsi="Times New Roman" w:hint="eastAsia"/>
          <w:color w:val="auto"/>
          <w:szCs w:val="24"/>
        </w:rPr>
        <w:t>4</w:t>
      </w:r>
      <w:r>
        <w:rPr>
          <w:rFonts w:ascii="Times New Roman" w:eastAsia="宋体" w:hAnsi="Times New Roman" w:hint="eastAsia"/>
          <w:color w:val="auto"/>
          <w:szCs w:val="24"/>
        </w:rPr>
        <w:t>）</w:t>
      </w:r>
      <w:r>
        <w:rPr>
          <w:rFonts w:ascii="Times New Roman" w:eastAsia="宋体" w:hAnsi="Times New Roman"/>
          <w:color w:val="auto"/>
          <w:szCs w:val="24"/>
        </w:rPr>
        <w:t>科创板</w:t>
      </w:r>
      <w:r>
        <w:rPr>
          <w:rFonts w:ascii="Times New Roman" w:eastAsia="宋体" w:hAnsi="Times New Roman"/>
          <w:color w:val="auto"/>
          <w:szCs w:val="24"/>
        </w:rPr>
        <w:t>IPO</w:t>
      </w:r>
      <w:r>
        <w:rPr>
          <w:rFonts w:ascii="Times New Roman" w:eastAsia="宋体" w:hAnsi="Times New Roman"/>
          <w:color w:val="auto"/>
          <w:szCs w:val="24"/>
        </w:rPr>
        <w:t>发行公司情况</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37"/>
        <w:gridCol w:w="1393"/>
        <w:gridCol w:w="1721"/>
        <w:gridCol w:w="1441"/>
        <w:gridCol w:w="1711"/>
        <w:gridCol w:w="1785"/>
      </w:tblGrid>
      <w:tr w:rsidR="005B7551">
        <w:trPr>
          <w:trHeight w:val="624"/>
          <w:tblHeader/>
        </w:trPr>
        <w:tc>
          <w:tcPr>
            <w:tcW w:w="1238"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代码</w:t>
            </w:r>
          </w:p>
        </w:tc>
        <w:tc>
          <w:tcPr>
            <w:tcW w:w="1394"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股票简称</w:t>
            </w:r>
          </w:p>
        </w:tc>
        <w:tc>
          <w:tcPr>
            <w:tcW w:w="1721"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募集资金总额（万元）</w:t>
            </w:r>
          </w:p>
        </w:tc>
        <w:tc>
          <w:tcPr>
            <w:tcW w:w="1441"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上市日期</w:t>
            </w:r>
          </w:p>
        </w:tc>
        <w:tc>
          <w:tcPr>
            <w:tcW w:w="1709" w:type="dxa"/>
            <w:shd w:val="solid" w:color="C0C0C0" w:fill="auto"/>
            <w:vAlign w:val="center"/>
          </w:tcPr>
          <w:p w:rsidR="005B7551" w:rsidRDefault="00252D0C">
            <w:pPr>
              <w:shd w:val="solid" w:color="C0C0C0" w:fill="auto"/>
              <w:autoSpaceDN w:val="0"/>
              <w:jc w:val="center"/>
              <w:textAlignment w:val="center"/>
              <w:rPr>
                <w:rFonts w:ascii="Times New Roman" w:eastAsia="宋体" w:hAnsi="Times New Roman"/>
                <w:b/>
                <w:bCs/>
                <w:color w:val="auto"/>
                <w:szCs w:val="24"/>
              </w:rPr>
            </w:pPr>
            <w:r>
              <w:rPr>
                <w:rFonts w:ascii="Times New Roman" w:eastAsia="宋体" w:hAnsi="Times New Roman"/>
                <w:b/>
                <w:bCs/>
                <w:color w:val="auto"/>
                <w:szCs w:val="24"/>
              </w:rPr>
              <w:t>发行价（元）</w:t>
            </w:r>
          </w:p>
        </w:tc>
        <w:tc>
          <w:tcPr>
            <w:tcW w:w="1785" w:type="dxa"/>
            <w:shd w:val="solid" w:color="C0C0C0" w:fill="auto"/>
            <w:vAlign w:val="center"/>
          </w:tcPr>
          <w:p w:rsidR="005B7551" w:rsidRDefault="00252D0C">
            <w:pPr>
              <w:shd w:val="solid" w:color="C0C0C0" w:fill="auto"/>
              <w:autoSpaceDN w:val="0"/>
              <w:jc w:val="right"/>
              <w:textAlignment w:val="center"/>
              <w:rPr>
                <w:rFonts w:ascii="Times New Roman" w:eastAsia="宋体" w:hAnsi="Times New Roman"/>
                <w:b/>
                <w:bCs/>
                <w:color w:val="auto"/>
                <w:szCs w:val="24"/>
              </w:rPr>
            </w:pPr>
            <w:r>
              <w:rPr>
                <w:rFonts w:ascii="Times New Roman" w:eastAsia="宋体" w:hAnsi="Times New Roman"/>
                <w:b/>
                <w:color w:val="auto"/>
                <w:szCs w:val="24"/>
                <w:shd w:val="clear" w:color="auto" w:fill="C0C0C0"/>
              </w:rPr>
              <w:t>发行量（万股）</w:t>
            </w:r>
          </w:p>
        </w:tc>
      </w:tr>
      <w:tr w:rsidR="005B7551">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hRule="exact" w:val="469"/>
        </w:trPr>
        <w:tc>
          <w:tcPr>
            <w:tcW w:w="1238" w:type="dxa"/>
            <w:tcBorders>
              <w:top w:val="single" w:sz="4" w:space="0" w:color="auto"/>
              <w:left w:val="single" w:sz="4" w:space="0" w:color="000000"/>
              <w:bottom w:val="single" w:sz="4" w:space="0" w:color="000000"/>
              <w:right w:val="single" w:sz="4" w:space="0" w:color="000000"/>
            </w:tcBorders>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6885</w:t>
            </w:r>
            <w:r>
              <w:rPr>
                <w:rFonts w:ascii="Times New Roman" w:eastAsia="宋体" w:hAnsi="Times New Roman" w:hint="eastAsia"/>
                <w:color w:val="auto"/>
                <w:szCs w:val="24"/>
              </w:rPr>
              <w:t>15</w:t>
            </w:r>
          </w:p>
        </w:tc>
        <w:tc>
          <w:tcPr>
            <w:tcW w:w="1394" w:type="dxa"/>
            <w:tcBorders>
              <w:top w:val="single" w:sz="4" w:space="0" w:color="auto"/>
              <w:left w:val="nil"/>
              <w:bottom w:val="single" w:sz="4" w:space="0" w:color="000000"/>
              <w:right w:val="single" w:sz="4" w:space="0" w:color="000000"/>
            </w:tcBorders>
            <w:shd w:val="solid" w:color="FFFFFF" w:fill="auto"/>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宋体" w:eastAsia="宋体" w:cs="宋体"/>
                <w:szCs w:val="24"/>
              </w:rPr>
              <w:t>裕太微</w:t>
            </w:r>
          </w:p>
        </w:tc>
        <w:tc>
          <w:tcPr>
            <w:tcW w:w="1721" w:type="dxa"/>
            <w:tcBorders>
              <w:top w:val="single" w:sz="4" w:space="0" w:color="auto"/>
              <w:left w:val="nil"/>
              <w:bottom w:val="single" w:sz="4" w:space="0" w:color="000000"/>
              <w:right w:val="single" w:sz="4" w:space="0" w:color="000000"/>
            </w:tcBorders>
            <w:shd w:val="solid" w:color="FFFFFF" w:fill="auto"/>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184,000</w:t>
            </w:r>
            <w:r>
              <w:rPr>
                <w:rFonts w:ascii="Times New Roman" w:eastAsia="宋体" w:hAnsi="Times New Roman"/>
                <w:color w:val="auto"/>
                <w:szCs w:val="24"/>
              </w:rPr>
              <w:t>.00</w:t>
            </w:r>
            <w:r>
              <w:rPr>
                <w:rFonts w:ascii="Times New Roman" w:eastAsia="宋体" w:hAnsi="Times New Roman" w:hint="eastAsia"/>
                <w:color w:val="auto"/>
                <w:szCs w:val="24"/>
              </w:rPr>
              <w:t xml:space="preserve"> </w:t>
            </w:r>
          </w:p>
        </w:tc>
        <w:tc>
          <w:tcPr>
            <w:tcW w:w="1441" w:type="dxa"/>
            <w:tcBorders>
              <w:top w:val="single" w:sz="4" w:space="0" w:color="auto"/>
              <w:left w:val="nil"/>
              <w:bottom w:val="single" w:sz="4" w:space="0" w:color="000000"/>
              <w:right w:val="single" w:sz="4" w:space="0" w:color="000000"/>
            </w:tcBorders>
            <w:shd w:val="solid" w:color="FFFFFF" w:fill="FFFF00"/>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10</w:t>
            </w:r>
            <w:r>
              <w:rPr>
                <w:rFonts w:ascii="Times New Roman" w:eastAsia="宋体" w:hAnsi="Times New Roman" w:hint="eastAsia"/>
                <w:color w:val="auto"/>
                <w:szCs w:val="24"/>
              </w:rPr>
              <w:t xml:space="preserve"> </w:t>
            </w:r>
          </w:p>
        </w:tc>
        <w:tc>
          <w:tcPr>
            <w:tcW w:w="1711" w:type="dxa"/>
            <w:tcBorders>
              <w:top w:val="single" w:sz="4" w:space="0" w:color="auto"/>
              <w:left w:val="nil"/>
              <w:bottom w:val="single" w:sz="4" w:space="0" w:color="000000"/>
              <w:right w:val="single" w:sz="4" w:space="0" w:color="000000"/>
            </w:tcBorders>
            <w:shd w:val="solid" w:color="FFFFFF" w:fill="FFFF00"/>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color w:val="auto"/>
                <w:szCs w:val="24"/>
              </w:rPr>
              <w:t xml:space="preserve">  </w:t>
            </w:r>
            <w:r>
              <w:rPr>
                <w:rFonts w:ascii="Times New Roman" w:eastAsia="宋体" w:hAnsi="Times New Roman" w:hint="eastAsia"/>
                <w:color w:val="auto"/>
                <w:szCs w:val="24"/>
              </w:rPr>
              <w:t>92</w:t>
            </w:r>
            <w:r>
              <w:rPr>
                <w:rFonts w:ascii="Times New Roman" w:eastAsia="宋体" w:hAnsi="Times New Roman" w:hint="eastAsia"/>
                <w:color w:val="auto"/>
                <w:szCs w:val="24"/>
              </w:rPr>
              <w:t>.</w:t>
            </w:r>
            <w:r>
              <w:rPr>
                <w:rFonts w:ascii="Times New Roman" w:eastAsia="宋体" w:hAnsi="Times New Roman" w:hint="eastAsia"/>
                <w:color w:val="auto"/>
                <w:szCs w:val="24"/>
              </w:rPr>
              <w:t>0</w:t>
            </w:r>
            <w:r>
              <w:rPr>
                <w:rFonts w:ascii="Times New Roman" w:eastAsia="宋体" w:hAnsi="Times New Roman" w:hint="eastAsia"/>
                <w:color w:val="auto"/>
                <w:szCs w:val="24"/>
              </w:rPr>
              <w:t>0</w:t>
            </w:r>
          </w:p>
        </w:tc>
        <w:tc>
          <w:tcPr>
            <w:tcW w:w="1783" w:type="dxa"/>
            <w:tcBorders>
              <w:top w:val="single" w:sz="4" w:space="0" w:color="auto"/>
              <w:left w:val="nil"/>
              <w:bottom w:val="single" w:sz="4" w:space="0" w:color="000000"/>
              <w:right w:val="single" w:sz="4" w:space="0" w:color="000000"/>
            </w:tcBorders>
            <w:shd w:val="solid" w:color="FFFFFF" w:fill="FFFF00"/>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2,000</w:t>
            </w:r>
            <w:r>
              <w:rPr>
                <w:rFonts w:ascii="Times New Roman" w:eastAsia="宋体" w:hAnsi="Times New Roman"/>
                <w:color w:val="auto"/>
                <w:szCs w:val="24"/>
              </w:rPr>
              <w:t>.</w:t>
            </w:r>
            <w:r>
              <w:rPr>
                <w:rFonts w:ascii="Times New Roman" w:eastAsia="宋体" w:hAnsi="Times New Roman" w:hint="eastAsia"/>
                <w:color w:val="auto"/>
                <w:szCs w:val="24"/>
              </w:rPr>
              <w:t>00</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688</w:t>
            </w:r>
            <w:r>
              <w:rPr>
                <w:rFonts w:ascii="Times New Roman" w:eastAsia="宋体" w:hAnsi="Times New Roman" w:hint="eastAsia"/>
                <w:color w:val="auto"/>
                <w:szCs w:val="24"/>
              </w:rPr>
              <w:t>307</w:t>
            </w:r>
          </w:p>
        </w:tc>
        <w:tc>
          <w:tcPr>
            <w:tcW w:w="1394"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宋体" w:eastAsia="宋体" w:cs="宋体"/>
                <w:szCs w:val="24"/>
              </w:rPr>
              <w:t>中润光学</w:t>
            </w:r>
          </w:p>
        </w:tc>
        <w:tc>
          <w:tcPr>
            <w:tcW w:w="1721"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widowControl/>
              <w:jc w:val="right"/>
              <w:textAlignment w:val="center"/>
              <w:rPr>
                <w:rFonts w:ascii="Times New Roman" w:eastAsia="宋体" w:hAnsi="Times New Roman"/>
                <w:color w:val="auto"/>
                <w:szCs w:val="24"/>
                <w:lang/>
              </w:rPr>
            </w:pPr>
            <w:r>
              <w:rPr>
                <w:rFonts w:ascii="Times New Roman" w:eastAsia="宋体" w:hAnsi="Times New Roman" w:hint="eastAsia"/>
                <w:color w:val="auto"/>
                <w:kern w:val="0"/>
                <w:szCs w:val="24"/>
                <w:lang/>
              </w:rPr>
              <w:t>52,536.00</w:t>
            </w:r>
            <w:r>
              <w:rPr>
                <w:rFonts w:ascii="Times New Roman" w:eastAsia="宋体" w:hAnsi="Times New Roman"/>
                <w:color w:val="auto"/>
                <w:kern w:val="0"/>
                <w:szCs w:val="24"/>
                <w:lang/>
              </w:rPr>
              <w:t xml:space="preserve">  </w:t>
            </w:r>
          </w:p>
        </w:tc>
        <w:tc>
          <w:tcPr>
            <w:tcW w:w="1441"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16</w:t>
            </w:r>
          </w:p>
        </w:tc>
        <w:tc>
          <w:tcPr>
            <w:tcW w:w="1709"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23</w:t>
            </w:r>
            <w:r>
              <w:rPr>
                <w:rFonts w:ascii="Times New Roman" w:eastAsia="宋体" w:hAnsi="Times New Roman" w:hint="eastAsia"/>
                <w:color w:val="auto"/>
                <w:szCs w:val="24"/>
              </w:rPr>
              <w:t>.</w:t>
            </w:r>
            <w:r>
              <w:rPr>
                <w:rFonts w:ascii="Times New Roman" w:eastAsia="宋体" w:hAnsi="Times New Roman" w:hint="eastAsia"/>
                <w:color w:val="auto"/>
                <w:szCs w:val="24"/>
              </w:rPr>
              <w:t>88</w:t>
            </w:r>
          </w:p>
        </w:tc>
        <w:tc>
          <w:tcPr>
            <w:tcW w:w="1785"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widowControl/>
              <w:jc w:val="right"/>
              <w:textAlignment w:val="center"/>
              <w:rPr>
                <w:rFonts w:ascii="Times New Roman" w:eastAsia="宋体" w:hAnsi="Times New Roman"/>
                <w:color w:val="auto"/>
                <w:szCs w:val="24"/>
              </w:rPr>
            </w:pPr>
            <w:r>
              <w:rPr>
                <w:rFonts w:ascii="Times New Roman" w:eastAsia="宋体" w:hAnsi="Times New Roman" w:hint="eastAsia"/>
                <w:color w:val="auto"/>
                <w:szCs w:val="24"/>
              </w:rPr>
              <w:t>2,200.00</w:t>
            </w:r>
            <w:r>
              <w:rPr>
                <w:rFonts w:ascii="Times New Roman" w:eastAsia="宋体" w:hAnsi="Times New Roman"/>
                <w:color w:val="auto"/>
                <w:szCs w:val="24"/>
              </w:rPr>
              <w:t xml:space="preserve"> </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6884</w:t>
            </w:r>
            <w:r>
              <w:rPr>
                <w:rFonts w:ascii="Times New Roman" w:eastAsia="宋体" w:hAnsi="Times New Roman" w:hint="eastAsia"/>
                <w:color w:val="auto"/>
                <w:szCs w:val="24"/>
              </w:rPr>
              <w:t>86</w:t>
            </w:r>
          </w:p>
        </w:tc>
        <w:tc>
          <w:tcPr>
            <w:tcW w:w="1394"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宋体" w:eastAsia="宋体" w:cs="宋体"/>
                <w:szCs w:val="24"/>
              </w:rPr>
              <w:t>龙迅股份</w:t>
            </w:r>
          </w:p>
        </w:tc>
        <w:tc>
          <w:tcPr>
            <w:tcW w:w="1721"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widowControl/>
              <w:jc w:val="right"/>
              <w:textAlignment w:val="center"/>
              <w:rPr>
                <w:rFonts w:ascii="Times New Roman" w:eastAsia="宋体" w:hAnsi="Times New Roman"/>
                <w:color w:val="auto"/>
                <w:szCs w:val="24"/>
                <w:lang/>
              </w:rPr>
            </w:pPr>
            <w:r>
              <w:rPr>
                <w:rFonts w:ascii="Times New Roman" w:eastAsia="宋体" w:hAnsi="Times New Roman" w:hint="eastAsia"/>
                <w:color w:val="auto"/>
                <w:kern w:val="0"/>
                <w:szCs w:val="24"/>
                <w:lang/>
              </w:rPr>
              <w:t>112,130.00</w:t>
            </w:r>
            <w:r>
              <w:rPr>
                <w:rFonts w:ascii="Times New Roman" w:eastAsia="宋体" w:hAnsi="Times New Roman"/>
                <w:color w:val="auto"/>
                <w:kern w:val="0"/>
                <w:szCs w:val="24"/>
                <w:lang/>
              </w:rPr>
              <w:t xml:space="preserve">  </w:t>
            </w:r>
          </w:p>
        </w:tc>
        <w:tc>
          <w:tcPr>
            <w:tcW w:w="1441"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21</w:t>
            </w:r>
          </w:p>
        </w:tc>
        <w:tc>
          <w:tcPr>
            <w:tcW w:w="1709"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shd w:val="solid" w:color="FFFFFF" w:fill="auto"/>
              <w:autoSpaceDN w:val="0"/>
              <w:jc w:val="right"/>
              <w:textAlignment w:val="center"/>
              <w:rPr>
                <w:rFonts w:ascii="Times New Roman" w:eastAsia="宋体" w:hAnsi="Times New Roman"/>
                <w:color w:val="auto"/>
                <w:szCs w:val="24"/>
              </w:rPr>
            </w:pPr>
            <w:r>
              <w:rPr>
                <w:rFonts w:ascii="Times New Roman" w:eastAsia="宋体" w:hAnsi="Times New Roman" w:hint="eastAsia"/>
                <w:color w:val="auto"/>
                <w:szCs w:val="24"/>
              </w:rPr>
              <w:t>64</w:t>
            </w:r>
            <w:r>
              <w:rPr>
                <w:rFonts w:ascii="Times New Roman" w:eastAsia="宋体" w:hAnsi="Times New Roman" w:hint="eastAsia"/>
                <w:color w:val="auto"/>
                <w:szCs w:val="24"/>
              </w:rPr>
              <w:t>.</w:t>
            </w:r>
            <w:r>
              <w:rPr>
                <w:rFonts w:ascii="Times New Roman" w:eastAsia="宋体" w:hAnsi="Times New Roman" w:hint="eastAsia"/>
                <w:color w:val="auto"/>
                <w:szCs w:val="24"/>
              </w:rPr>
              <w:t>7</w:t>
            </w:r>
            <w:r>
              <w:rPr>
                <w:rFonts w:ascii="Times New Roman" w:eastAsia="宋体" w:hAnsi="Times New Roman" w:hint="eastAsia"/>
                <w:color w:val="auto"/>
                <w:szCs w:val="24"/>
              </w:rPr>
              <w:t>6</w:t>
            </w:r>
          </w:p>
        </w:tc>
        <w:tc>
          <w:tcPr>
            <w:tcW w:w="1785"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widowControl/>
              <w:jc w:val="right"/>
              <w:textAlignment w:val="center"/>
              <w:rPr>
                <w:rFonts w:ascii="Times New Roman" w:eastAsia="宋体" w:hAnsi="Times New Roman"/>
                <w:color w:val="auto"/>
                <w:szCs w:val="24"/>
              </w:rPr>
            </w:pPr>
            <w:r>
              <w:rPr>
                <w:rFonts w:ascii="Times New Roman" w:eastAsia="宋体" w:hAnsi="Times New Roman" w:hint="eastAsia"/>
                <w:color w:val="auto"/>
                <w:kern w:val="0"/>
                <w:szCs w:val="24"/>
                <w:lang/>
              </w:rPr>
              <w:t>1,731.47</w:t>
            </w:r>
            <w:r>
              <w:rPr>
                <w:rFonts w:ascii="Times New Roman" w:eastAsia="宋体" w:hAnsi="Times New Roman"/>
                <w:color w:val="auto"/>
                <w:kern w:val="0"/>
                <w:szCs w:val="24"/>
                <w:lang/>
              </w:rPr>
              <w:t xml:space="preserve"> </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color w:val="auto"/>
                <w:szCs w:val="24"/>
              </w:rPr>
              <w:t>总计</w:t>
            </w:r>
          </w:p>
        </w:tc>
        <w:tc>
          <w:tcPr>
            <w:tcW w:w="1394"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5B7551">
            <w:pPr>
              <w:shd w:val="solid" w:color="FFFFFF" w:fill="auto"/>
              <w:autoSpaceDN w:val="0"/>
              <w:jc w:val="center"/>
              <w:textAlignment w:val="center"/>
              <w:rPr>
                <w:rFonts w:ascii="Times New Roman" w:eastAsia="宋体" w:hAnsi="Times New Roman"/>
                <w:color w:val="auto"/>
                <w:szCs w:val="24"/>
              </w:rPr>
            </w:pPr>
          </w:p>
        </w:tc>
        <w:tc>
          <w:tcPr>
            <w:tcW w:w="1721"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5B7551">
            <w:pPr>
              <w:widowControl/>
              <w:jc w:val="right"/>
              <w:textAlignment w:val="center"/>
              <w:rPr>
                <w:rFonts w:ascii="Times New Roman" w:eastAsia="宋体" w:hAnsi="Times New Roman"/>
                <w:color w:val="auto"/>
                <w:szCs w:val="24"/>
              </w:rPr>
            </w:pPr>
            <w:r>
              <w:rPr>
                <w:rFonts w:ascii="Times New Roman" w:eastAsia="宋体" w:hAnsi="Times New Roman" w:hint="eastAsia"/>
                <w:color w:val="auto"/>
                <w:kern w:val="0"/>
                <w:szCs w:val="24"/>
                <w:lang/>
              </w:rPr>
              <w:fldChar w:fldCharType="begin"/>
            </w:r>
            <w:r w:rsidR="00252D0C">
              <w:rPr>
                <w:rFonts w:ascii="Times New Roman" w:eastAsia="宋体" w:hAnsi="Times New Roman" w:hint="eastAsia"/>
                <w:color w:val="auto"/>
                <w:kern w:val="0"/>
                <w:szCs w:val="24"/>
                <w:lang/>
              </w:rPr>
              <w:instrText xml:space="preserve"> = sum(C2:C4) \* MERGEFORMAT </w:instrText>
            </w:r>
            <w:r>
              <w:rPr>
                <w:rFonts w:ascii="Times New Roman" w:eastAsia="宋体" w:hAnsi="Times New Roman" w:hint="eastAsia"/>
                <w:color w:val="auto"/>
                <w:kern w:val="0"/>
                <w:szCs w:val="24"/>
                <w:lang/>
              </w:rPr>
              <w:fldChar w:fldCharType="separate"/>
            </w:r>
            <w:r w:rsidR="00252D0C">
              <w:rPr>
                <w:rFonts w:ascii="Times New Roman" w:eastAsia="宋体" w:hAnsi="Times New Roman" w:hint="eastAsia"/>
                <w:color w:val="auto"/>
                <w:kern w:val="0"/>
                <w:szCs w:val="24"/>
                <w:lang/>
              </w:rPr>
              <w:t>348,66</w:t>
            </w:r>
            <w:r w:rsidR="00252D0C">
              <w:rPr>
                <w:rFonts w:ascii="Times New Roman" w:eastAsia="宋体" w:hAnsi="Times New Roman"/>
                <w:color w:val="auto"/>
                <w:kern w:val="0"/>
                <w:szCs w:val="24"/>
                <w:lang/>
              </w:rPr>
              <w:t>6</w:t>
            </w:r>
            <w:r w:rsidR="00252D0C">
              <w:rPr>
                <w:rFonts w:ascii="Times New Roman" w:eastAsia="宋体" w:hAnsi="Times New Roman" w:hint="eastAsia"/>
                <w:color w:val="auto"/>
                <w:kern w:val="0"/>
                <w:szCs w:val="24"/>
                <w:lang/>
              </w:rPr>
              <w:t>.00</w:t>
            </w:r>
            <w:r>
              <w:rPr>
                <w:rFonts w:ascii="Times New Roman" w:eastAsia="宋体" w:hAnsi="Times New Roman" w:hint="eastAsia"/>
                <w:color w:val="auto"/>
                <w:kern w:val="0"/>
                <w:szCs w:val="24"/>
                <w:lang/>
              </w:rPr>
              <w:fldChar w:fldCharType="end"/>
            </w:r>
            <w:r w:rsidR="00252D0C">
              <w:rPr>
                <w:rFonts w:ascii="Times New Roman" w:eastAsia="宋体" w:hAnsi="Times New Roman" w:hint="eastAsia"/>
                <w:color w:val="auto"/>
                <w:szCs w:val="24"/>
              </w:rPr>
              <w:t xml:space="preserve"> </w:t>
            </w:r>
          </w:p>
        </w:tc>
        <w:tc>
          <w:tcPr>
            <w:tcW w:w="1441"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5B7551">
            <w:pPr>
              <w:shd w:val="solid" w:color="FFFFFF" w:fill="auto"/>
              <w:autoSpaceDN w:val="0"/>
              <w:jc w:val="center"/>
              <w:textAlignment w:val="center"/>
              <w:rPr>
                <w:rFonts w:ascii="Times New Roman" w:eastAsia="宋体" w:hAnsi="Times New Roman"/>
                <w:color w:val="auto"/>
                <w:szCs w:val="24"/>
              </w:rPr>
            </w:pPr>
          </w:p>
        </w:tc>
        <w:tc>
          <w:tcPr>
            <w:tcW w:w="1709"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5B7551">
            <w:pPr>
              <w:shd w:val="solid" w:color="FFFFFF" w:fill="auto"/>
              <w:autoSpaceDN w:val="0"/>
              <w:jc w:val="right"/>
              <w:textAlignment w:val="center"/>
              <w:rPr>
                <w:rFonts w:ascii="Times New Roman" w:eastAsia="宋体" w:hAnsi="Times New Roman"/>
                <w:color w:val="auto"/>
                <w:szCs w:val="24"/>
              </w:rPr>
            </w:pPr>
          </w:p>
        </w:tc>
        <w:tc>
          <w:tcPr>
            <w:tcW w:w="1785" w:type="dxa"/>
            <w:tcBorders>
              <w:top w:val="single" w:sz="4" w:space="0" w:color="auto"/>
              <w:left w:val="single" w:sz="4" w:space="0" w:color="auto"/>
              <w:bottom w:val="single" w:sz="4" w:space="0" w:color="auto"/>
              <w:right w:val="single" w:sz="4" w:space="0" w:color="auto"/>
            </w:tcBorders>
            <w:shd w:val="clear" w:color="000000" w:fill="FFFFFF"/>
            <w:vAlign w:val="center"/>
          </w:tcPr>
          <w:p w:rsidR="005B7551" w:rsidRDefault="005B7551">
            <w:pPr>
              <w:widowControl/>
              <w:jc w:val="right"/>
              <w:textAlignment w:val="center"/>
              <w:rPr>
                <w:rFonts w:ascii="Times New Roman" w:eastAsia="宋体" w:hAnsi="Times New Roman"/>
                <w:color w:val="auto"/>
                <w:szCs w:val="24"/>
              </w:rPr>
            </w:pPr>
            <w:r>
              <w:rPr>
                <w:rFonts w:ascii="Times New Roman" w:eastAsia="宋体" w:hAnsi="Times New Roman" w:hint="eastAsia"/>
                <w:color w:val="auto"/>
                <w:kern w:val="0"/>
                <w:szCs w:val="24"/>
                <w:lang/>
              </w:rPr>
              <w:fldChar w:fldCharType="begin"/>
            </w:r>
            <w:r w:rsidR="00252D0C">
              <w:rPr>
                <w:rFonts w:ascii="Times New Roman" w:eastAsia="宋体" w:hAnsi="Times New Roman" w:hint="eastAsia"/>
                <w:color w:val="auto"/>
                <w:kern w:val="0"/>
                <w:szCs w:val="24"/>
                <w:lang/>
              </w:rPr>
              <w:instrText xml:space="preserve"> = sum(F2:F4) \* MERGEFORMAT </w:instrText>
            </w:r>
            <w:r>
              <w:rPr>
                <w:rFonts w:ascii="Times New Roman" w:eastAsia="宋体" w:hAnsi="Times New Roman" w:hint="eastAsia"/>
                <w:color w:val="auto"/>
                <w:kern w:val="0"/>
                <w:szCs w:val="24"/>
                <w:lang/>
              </w:rPr>
              <w:fldChar w:fldCharType="separate"/>
            </w:r>
            <w:r w:rsidR="00252D0C">
              <w:rPr>
                <w:rFonts w:ascii="Times New Roman" w:eastAsia="宋体" w:hAnsi="Times New Roman" w:hint="eastAsia"/>
                <w:color w:val="auto"/>
                <w:kern w:val="0"/>
                <w:szCs w:val="24"/>
                <w:lang/>
              </w:rPr>
              <w:t>5,931.47</w:t>
            </w:r>
            <w:r>
              <w:rPr>
                <w:rFonts w:ascii="Times New Roman" w:eastAsia="宋体" w:hAnsi="Times New Roman" w:hint="eastAsia"/>
                <w:color w:val="auto"/>
                <w:kern w:val="0"/>
                <w:szCs w:val="24"/>
                <w:lang/>
              </w:rPr>
              <w:fldChar w:fldCharType="end"/>
            </w:r>
            <w:r w:rsidR="00252D0C">
              <w:rPr>
                <w:rFonts w:ascii="宋体" w:eastAsia="宋体" w:cs="宋体" w:hint="eastAsia"/>
                <w:color w:val="auto"/>
                <w:kern w:val="0"/>
                <w:sz w:val="22"/>
                <w:szCs w:val="22"/>
                <w:lang/>
              </w:rPr>
              <w:t xml:space="preserve">  </w:t>
            </w:r>
          </w:p>
        </w:tc>
      </w:tr>
    </w:tbl>
    <w:p w:rsidR="005B7551" w:rsidRDefault="00252D0C" w:rsidP="000334EE">
      <w:pPr>
        <w:tabs>
          <w:tab w:val="left" w:pos="7560"/>
          <w:tab w:val="left" w:pos="8100"/>
        </w:tabs>
        <w:spacing w:afterLines="50"/>
        <w:jc w:val="right"/>
        <w:rPr>
          <w:rFonts w:ascii="Times New Roman" w:eastAsia="宋体" w:hAnsi="Times New Roman"/>
          <w:color w:val="auto"/>
          <w:szCs w:val="24"/>
        </w:rPr>
      </w:pPr>
      <w:r>
        <w:rPr>
          <w:rFonts w:ascii="Times New Roman" w:eastAsia="宋体" w:hAnsi="Times New Roman"/>
          <w:color w:val="auto"/>
          <w:szCs w:val="24"/>
        </w:rPr>
        <w:t>上述信息来源：上交所网站</w:t>
      </w:r>
      <w:r>
        <w:rPr>
          <w:rFonts w:ascii="Times New Roman" w:eastAsia="宋体" w:hAnsi="Times New Roman"/>
          <w:color w:val="auto"/>
          <w:szCs w:val="24"/>
        </w:rPr>
        <w:t xml:space="preserve"> </w:t>
      </w:r>
      <w:r>
        <w:rPr>
          <w:rFonts w:ascii="Times New Roman" w:eastAsia="宋体" w:hAnsi="Times New Roman"/>
          <w:color w:val="auto"/>
          <w:szCs w:val="24"/>
        </w:rPr>
        <w:t>深交所网站</w:t>
      </w:r>
    </w:p>
    <w:p w:rsidR="005B7551" w:rsidRDefault="00252D0C" w:rsidP="000334EE">
      <w:pPr>
        <w:tabs>
          <w:tab w:val="left" w:pos="0"/>
          <w:tab w:val="left" w:pos="4680"/>
        </w:tabs>
        <w:spacing w:afterLines="50" w:line="360" w:lineRule="auto"/>
        <w:ind w:firstLineChars="200" w:firstLine="480"/>
        <w:rPr>
          <w:rFonts w:ascii="Times New Roman" w:eastAsia="Times New Roman"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5</w:t>
      </w:r>
      <w:r>
        <w:rPr>
          <w:rFonts w:ascii="Times New Roman" w:eastAsia="宋体" w:hAnsi="Times New Roman" w:hint="eastAsia"/>
          <w:color w:val="auto"/>
        </w:rPr>
        <w:t>）</w:t>
      </w:r>
      <w:r>
        <w:rPr>
          <w:rFonts w:ascii="Times New Roman" w:eastAsia="宋体" w:hAnsi="Times New Roman"/>
          <w:color w:val="auto"/>
        </w:rPr>
        <w:t>北交所</w:t>
      </w:r>
      <w:r>
        <w:rPr>
          <w:rFonts w:ascii="Times New Roman" w:eastAsia="宋体" w:hAnsi="Times New Roman"/>
          <w:color w:val="auto"/>
        </w:rPr>
        <w:t>IPO</w:t>
      </w:r>
      <w:r>
        <w:rPr>
          <w:rFonts w:ascii="Times New Roman" w:eastAsia="宋体" w:hAnsi="Times New Roman"/>
          <w:color w:val="auto"/>
        </w:rPr>
        <w:t>发行公司情况</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38"/>
        <w:gridCol w:w="1394"/>
        <w:gridCol w:w="1721"/>
        <w:gridCol w:w="1441"/>
        <w:gridCol w:w="1709"/>
        <w:gridCol w:w="1785"/>
      </w:tblGrid>
      <w:tr w:rsidR="005B7551">
        <w:trPr>
          <w:trHeight w:val="624"/>
          <w:tblHeader/>
        </w:trPr>
        <w:tc>
          <w:tcPr>
            <w:tcW w:w="1238" w:type="dxa"/>
            <w:tcBorders>
              <w:top w:val="single" w:sz="4" w:space="0" w:color="auto"/>
              <w:left w:val="single" w:sz="4" w:space="0" w:color="auto"/>
              <w:bottom w:val="single" w:sz="4" w:space="0" w:color="auto"/>
              <w:right w:val="single" w:sz="4" w:space="0" w:color="auto"/>
              <w:tl2br w:val="nil"/>
              <w:tr2bl w:val="nil"/>
            </w:tcBorders>
            <w:shd w:val="solid" w:color="C0C0C0" w:fill="auto"/>
            <w:vAlign w:val="center"/>
          </w:tcPr>
          <w:p w:rsidR="005B7551" w:rsidRDefault="00252D0C">
            <w:pPr>
              <w:shd w:val="solid" w:color="C0C0C0" w:fill="auto"/>
              <w:autoSpaceDN w:val="0"/>
              <w:jc w:val="center"/>
              <w:textAlignment w:val="center"/>
              <w:rPr>
                <w:rFonts w:ascii="Times New Roman" w:eastAsia="Times New Roman" w:hAnsi="Times New Roman"/>
                <w:b/>
                <w:color w:val="auto"/>
              </w:rPr>
            </w:pPr>
            <w:r>
              <w:rPr>
                <w:rFonts w:ascii="宋体" w:eastAsia="宋体" w:hAnsi="Times New Roman"/>
                <w:b/>
                <w:color w:val="auto"/>
                <w:shd w:val="clear" w:color="auto" w:fill="C0C0C0"/>
              </w:rPr>
              <w:t>代码</w:t>
            </w:r>
          </w:p>
        </w:tc>
        <w:tc>
          <w:tcPr>
            <w:tcW w:w="1394" w:type="dxa"/>
            <w:tcBorders>
              <w:top w:val="single" w:sz="4" w:space="0" w:color="auto"/>
              <w:left w:val="single" w:sz="4" w:space="0" w:color="auto"/>
              <w:bottom w:val="single" w:sz="4" w:space="0" w:color="auto"/>
              <w:right w:val="single" w:sz="4" w:space="0" w:color="auto"/>
              <w:tl2br w:val="nil"/>
              <w:tr2bl w:val="nil"/>
            </w:tcBorders>
            <w:shd w:val="solid" w:color="C0C0C0" w:fill="auto"/>
            <w:vAlign w:val="center"/>
          </w:tcPr>
          <w:p w:rsidR="005B7551" w:rsidRDefault="00252D0C">
            <w:pPr>
              <w:shd w:val="solid" w:color="C0C0C0" w:fill="auto"/>
              <w:autoSpaceDN w:val="0"/>
              <w:jc w:val="center"/>
              <w:textAlignment w:val="center"/>
              <w:rPr>
                <w:rFonts w:ascii="Times New Roman" w:eastAsia="Times New Roman" w:hAnsi="Times New Roman"/>
                <w:b/>
                <w:color w:val="auto"/>
              </w:rPr>
            </w:pPr>
            <w:r>
              <w:rPr>
                <w:rFonts w:ascii="宋体" w:eastAsia="宋体" w:hAnsi="Times New Roman"/>
                <w:b/>
                <w:color w:val="auto"/>
                <w:shd w:val="clear" w:color="auto" w:fill="C0C0C0"/>
              </w:rPr>
              <w:t>股票简称</w:t>
            </w:r>
          </w:p>
        </w:tc>
        <w:tc>
          <w:tcPr>
            <w:tcW w:w="1721" w:type="dxa"/>
            <w:tcBorders>
              <w:top w:val="single" w:sz="4" w:space="0" w:color="auto"/>
              <w:left w:val="single" w:sz="4" w:space="0" w:color="auto"/>
              <w:bottom w:val="single" w:sz="4" w:space="0" w:color="auto"/>
              <w:right w:val="single" w:sz="4" w:space="0" w:color="auto"/>
              <w:tl2br w:val="nil"/>
              <w:tr2bl w:val="nil"/>
            </w:tcBorders>
            <w:shd w:val="solid" w:color="C0C0C0" w:fill="auto"/>
            <w:vAlign w:val="center"/>
          </w:tcPr>
          <w:p w:rsidR="005B7551" w:rsidRDefault="00252D0C">
            <w:pPr>
              <w:shd w:val="solid" w:color="C0C0C0" w:fill="auto"/>
              <w:autoSpaceDN w:val="0"/>
              <w:jc w:val="center"/>
              <w:textAlignment w:val="center"/>
              <w:rPr>
                <w:rFonts w:ascii="Times New Roman" w:eastAsia="Times New Roman" w:hAnsi="Times New Roman"/>
                <w:b/>
                <w:color w:val="auto"/>
              </w:rPr>
            </w:pPr>
            <w:r>
              <w:rPr>
                <w:rFonts w:ascii="宋体" w:eastAsia="宋体" w:hAnsi="Times New Roman"/>
                <w:b/>
                <w:color w:val="auto"/>
                <w:shd w:val="clear" w:color="auto" w:fill="C0C0C0"/>
              </w:rPr>
              <w:t>募集资金总额（万元）</w:t>
            </w:r>
          </w:p>
        </w:tc>
        <w:tc>
          <w:tcPr>
            <w:tcW w:w="1441" w:type="dxa"/>
            <w:tcBorders>
              <w:top w:val="single" w:sz="4" w:space="0" w:color="auto"/>
              <w:left w:val="single" w:sz="4" w:space="0" w:color="auto"/>
              <w:bottom w:val="single" w:sz="4" w:space="0" w:color="auto"/>
              <w:right w:val="single" w:sz="4" w:space="0" w:color="auto"/>
              <w:tl2br w:val="nil"/>
              <w:tr2bl w:val="nil"/>
            </w:tcBorders>
            <w:shd w:val="solid" w:color="C0C0C0" w:fill="auto"/>
            <w:vAlign w:val="center"/>
          </w:tcPr>
          <w:p w:rsidR="005B7551" w:rsidRDefault="00252D0C">
            <w:pPr>
              <w:shd w:val="solid" w:color="C0C0C0" w:fill="auto"/>
              <w:autoSpaceDN w:val="0"/>
              <w:jc w:val="center"/>
              <w:textAlignment w:val="center"/>
              <w:rPr>
                <w:rFonts w:ascii="Times New Roman" w:eastAsia="Times New Roman" w:hAnsi="Times New Roman"/>
                <w:b/>
                <w:color w:val="auto"/>
              </w:rPr>
            </w:pPr>
            <w:r>
              <w:rPr>
                <w:rFonts w:ascii="宋体" w:eastAsia="宋体" w:hAnsi="Times New Roman"/>
                <w:b/>
                <w:color w:val="auto"/>
                <w:shd w:val="clear" w:color="auto" w:fill="C0C0C0"/>
              </w:rPr>
              <w:t>上市日期</w:t>
            </w:r>
          </w:p>
        </w:tc>
        <w:tc>
          <w:tcPr>
            <w:tcW w:w="1709" w:type="dxa"/>
            <w:tcBorders>
              <w:top w:val="single" w:sz="4" w:space="0" w:color="auto"/>
              <w:left w:val="single" w:sz="4" w:space="0" w:color="auto"/>
              <w:bottom w:val="single" w:sz="4" w:space="0" w:color="auto"/>
              <w:right w:val="single" w:sz="4" w:space="0" w:color="auto"/>
              <w:tl2br w:val="nil"/>
              <w:tr2bl w:val="nil"/>
            </w:tcBorders>
            <w:shd w:val="solid" w:color="C0C0C0" w:fill="auto"/>
            <w:vAlign w:val="center"/>
          </w:tcPr>
          <w:p w:rsidR="005B7551" w:rsidRDefault="00252D0C">
            <w:pPr>
              <w:shd w:val="solid" w:color="C0C0C0" w:fill="auto"/>
              <w:autoSpaceDN w:val="0"/>
              <w:jc w:val="center"/>
              <w:textAlignment w:val="center"/>
              <w:rPr>
                <w:rFonts w:ascii="Times New Roman" w:eastAsia="Times New Roman" w:hAnsi="Times New Roman"/>
                <w:b/>
                <w:color w:val="auto"/>
              </w:rPr>
            </w:pPr>
            <w:r>
              <w:rPr>
                <w:rFonts w:ascii="宋体" w:eastAsia="宋体" w:hAnsi="Times New Roman"/>
                <w:b/>
                <w:color w:val="auto"/>
              </w:rPr>
              <w:t>发行价（元）</w:t>
            </w:r>
          </w:p>
        </w:tc>
        <w:tc>
          <w:tcPr>
            <w:tcW w:w="1785" w:type="dxa"/>
            <w:tcBorders>
              <w:top w:val="single" w:sz="4" w:space="0" w:color="auto"/>
              <w:left w:val="single" w:sz="4" w:space="0" w:color="auto"/>
              <w:bottom w:val="single" w:sz="4" w:space="0" w:color="auto"/>
              <w:right w:val="single" w:sz="4" w:space="0" w:color="auto"/>
              <w:tl2br w:val="nil"/>
              <w:tr2bl w:val="nil"/>
            </w:tcBorders>
            <w:shd w:val="solid" w:color="C0C0C0" w:fill="auto"/>
            <w:vAlign w:val="center"/>
          </w:tcPr>
          <w:p w:rsidR="005B7551" w:rsidRDefault="00252D0C">
            <w:pPr>
              <w:shd w:val="solid" w:color="C0C0C0" w:fill="auto"/>
              <w:autoSpaceDN w:val="0"/>
              <w:jc w:val="right"/>
              <w:textAlignment w:val="center"/>
              <w:rPr>
                <w:rFonts w:ascii="Times New Roman" w:eastAsia="Times New Roman" w:hAnsi="Times New Roman"/>
                <w:b/>
                <w:color w:val="auto"/>
              </w:rPr>
            </w:pPr>
            <w:r>
              <w:rPr>
                <w:rFonts w:ascii="宋体" w:eastAsia="宋体" w:hAnsi="Times New Roman"/>
                <w:b/>
                <w:color w:val="auto"/>
                <w:shd w:val="clear" w:color="auto" w:fill="C0C0C0"/>
              </w:rPr>
              <w:t>发行量（万股）</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rPr>
            </w:pPr>
            <w:r>
              <w:rPr>
                <w:rFonts w:ascii="Times New Roman" w:eastAsia="宋体" w:hAnsi="Times New Roman" w:hint="eastAsia"/>
                <w:color w:val="auto"/>
              </w:rPr>
              <w:t>832023</w:t>
            </w:r>
          </w:p>
        </w:tc>
        <w:tc>
          <w:tcPr>
            <w:tcW w:w="1394"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宋体" w:eastAsia="宋体" w:cs="宋体"/>
                <w:szCs w:val="24"/>
              </w:rPr>
            </w:pPr>
            <w:r>
              <w:rPr>
                <w:rFonts w:ascii="宋体" w:eastAsia="宋体" w:cs="宋体"/>
                <w:szCs w:val="24"/>
              </w:rPr>
              <w:t>田野股份</w:t>
            </w:r>
          </w:p>
        </w:tc>
        <w:tc>
          <w:tcPr>
            <w:tcW w:w="172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宋体" w:eastAsia="宋体" w:hAnsi="Times New Roman"/>
                <w:color w:val="auto"/>
              </w:rPr>
            </w:pPr>
            <w:r>
              <w:rPr>
                <w:rFonts w:ascii="Times New Roman" w:eastAsia="宋体" w:hAnsi="Times New Roman" w:hint="eastAsia"/>
                <w:color w:val="auto"/>
                <w:kern w:val="0"/>
              </w:rPr>
              <w:t>18,000.</w:t>
            </w:r>
            <w:r>
              <w:rPr>
                <w:rFonts w:ascii="Times New Roman" w:eastAsia="宋体" w:hAnsi="Times New Roman"/>
                <w:color w:val="auto"/>
                <w:kern w:val="0"/>
              </w:rPr>
              <w:t>00</w:t>
            </w:r>
            <w:r>
              <w:rPr>
                <w:rFonts w:ascii="Times New Roman" w:eastAsia="Times New Roman" w:hAnsi="Times New Roman" w:hint="eastAsia"/>
                <w:color w:val="auto"/>
                <w:kern w:val="0"/>
              </w:rPr>
              <w:t xml:space="preserve">   </w:t>
            </w:r>
          </w:p>
        </w:tc>
        <w:tc>
          <w:tcPr>
            <w:tcW w:w="144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02</w:t>
            </w:r>
            <w:r>
              <w:rPr>
                <w:rFonts w:ascii="Times New Roman" w:eastAsia="宋体" w:hAnsi="Times New Roman" w:hint="eastAsia"/>
                <w:color w:val="auto"/>
                <w:szCs w:val="24"/>
              </w:rPr>
              <w:t xml:space="preserve"> </w:t>
            </w:r>
          </w:p>
        </w:tc>
        <w:tc>
          <w:tcPr>
            <w:tcW w:w="1709"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right"/>
              <w:textAlignment w:val="center"/>
              <w:rPr>
                <w:rFonts w:ascii="Times New Roman" w:eastAsia="Times New Roman" w:hAnsi="Times New Roman"/>
                <w:color w:val="auto"/>
              </w:rPr>
            </w:pPr>
            <w:r>
              <w:rPr>
                <w:rFonts w:ascii="Times New Roman" w:eastAsia="Times New Roman" w:hAnsi="Times New Roman" w:hint="eastAsia"/>
                <w:color w:val="auto"/>
              </w:rPr>
              <w:t>3.</w:t>
            </w:r>
            <w:r>
              <w:rPr>
                <w:rFonts w:ascii="Times New Roman" w:eastAsia="宋体" w:hAnsi="Times New Roman" w:hint="eastAsia"/>
                <w:color w:val="auto"/>
              </w:rPr>
              <w:t>6</w:t>
            </w:r>
            <w:r>
              <w:rPr>
                <w:rFonts w:ascii="Times New Roman" w:eastAsia="Times New Roman" w:hAnsi="Times New Roman" w:hint="eastAsia"/>
                <w:color w:val="auto"/>
              </w:rPr>
              <w:t>0</w:t>
            </w:r>
          </w:p>
        </w:tc>
        <w:tc>
          <w:tcPr>
            <w:tcW w:w="1785"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rPr>
            </w:pPr>
            <w:r>
              <w:rPr>
                <w:rFonts w:ascii="Times New Roman" w:eastAsia="宋体" w:hAnsi="Times New Roman" w:hint="eastAsia"/>
                <w:color w:val="auto"/>
              </w:rPr>
              <w:t>5,000.00</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rPr>
            </w:pPr>
            <w:r>
              <w:rPr>
                <w:rFonts w:ascii="Times New Roman" w:eastAsia="宋体" w:hAnsi="Times New Roman" w:hint="eastAsia"/>
                <w:color w:val="auto"/>
              </w:rPr>
              <w:t>832802</w:t>
            </w:r>
          </w:p>
        </w:tc>
        <w:tc>
          <w:tcPr>
            <w:tcW w:w="1394"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宋体" w:eastAsia="宋体" w:cs="宋体"/>
                <w:szCs w:val="24"/>
              </w:rPr>
            </w:pPr>
            <w:r>
              <w:rPr>
                <w:rFonts w:ascii="宋体" w:eastAsia="宋体" w:cs="宋体"/>
                <w:szCs w:val="24"/>
              </w:rPr>
              <w:t>保丽洁</w:t>
            </w:r>
          </w:p>
        </w:tc>
        <w:tc>
          <w:tcPr>
            <w:tcW w:w="172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Times New Roman" w:hAnsi="Times New Roman"/>
                <w:color w:val="auto"/>
              </w:rPr>
            </w:pPr>
            <w:r>
              <w:rPr>
                <w:rFonts w:ascii="Times New Roman" w:eastAsia="宋体" w:hAnsi="Times New Roman" w:hint="eastAsia"/>
                <w:color w:val="auto"/>
                <w:kern w:val="0"/>
              </w:rPr>
              <w:t>7,592.81</w:t>
            </w:r>
            <w:r>
              <w:rPr>
                <w:rFonts w:ascii="Times New Roman" w:eastAsia="Times New Roman" w:hAnsi="Times New Roman" w:hint="eastAsia"/>
                <w:color w:val="auto"/>
                <w:kern w:val="0"/>
              </w:rPr>
              <w:t xml:space="preserve">  </w:t>
            </w:r>
          </w:p>
        </w:tc>
        <w:tc>
          <w:tcPr>
            <w:tcW w:w="144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06</w:t>
            </w:r>
            <w:r>
              <w:rPr>
                <w:rFonts w:ascii="Times New Roman" w:eastAsia="宋体" w:hAnsi="Times New Roman" w:hint="eastAsia"/>
                <w:color w:val="auto"/>
                <w:szCs w:val="24"/>
              </w:rPr>
              <w:t xml:space="preserve"> </w:t>
            </w:r>
          </w:p>
        </w:tc>
        <w:tc>
          <w:tcPr>
            <w:tcW w:w="1709"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right"/>
              <w:textAlignment w:val="center"/>
              <w:rPr>
                <w:rFonts w:ascii="Times New Roman" w:eastAsia="Times New Roman" w:hAnsi="Times New Roman"/>
                <w:color w:val="auto"/>
              </w:rPr>
            </w:pPr>
            <w:r>
              <w:rPr>
                <w:rFonts w:ascii="Times New Roman" w:eastAsia="宋体" w:hAnsi="Times New Roman" w:hint="eastAsia"/>
                <w:color w:val="auto"/>
              </w:rPr>
              <w:t>7</w:t>
            </w:r>
            <w:r>
              <w:rPr>
                <w:rFonts w:ascii="Times New Roman" w:eastAsia="Times New Roman" w:hAnsi="Times New Roman" w:hint="eastAsia"/>
                <w:color w:val="auto"/>
              </w:rPr>
              <w:t>.</w:t>
            </w:r>
            <w:r>
              <w:rPr>
                <w:rFonts w:ascii="Times New Roman" w:eastAsia="宋体" w:hAnsi="Times New Roman" w:hint="eastAsia"/>
                <w:color w:val="auto"/>
              </w:rPr>
              <w:t>95</w:t>
            </w:r>
          </w:p>
        </w:tc>
        <w:tc>
          <w:tcPr>
            <w:tcW w:w="1785"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Times New Roman" w:hAnsi="Times New Roman"/>
                <w:color w:val="auto"/>
              </w:rPr>
            </w:pPr>
            <w:r>
              <w:rPr>
                <w:rFonts w:ascii="Times New Roman" w:eastAsia="宋体" w:hAnsi="Times New Roman" w:hint="eastAsia"/>
                <w:color w:val="auto"/>
                <w:kern w:val="0"/>
              </w:rPr>
              <w:t>955.07</w:t>
            </w:r>
            <w:r>
              <w:rPr>
                <w:rFonts w:ascii="Times New Roman" w:eastAsia="Times New Roman" w:hAnsi="Times New Roman" w:hint="eastAsia"/>
                <w:color w:val="auto"/>
                <w:kern w:val="0"/>
              </w:rPr>
              <w:t xml:space="preserve"> </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rPr>
            </w:pPr>
            <w:r>
              <w:rPr>
                <w:rFonts w:ascii="Times New Roman" w:eastAsia="宋体" w:hAnsi="Times New Roman" w:hint="eastAsia"/>
                <w:color w:val="auto"/>
              </w:rPr>
              <w:t>873167</w:t>
            </w:r>
          </w:p>
        </w:tc>
        <w:tc>
          <w:tcPr>
            <w:tcW w:w="1394"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宋体" w:eastAsia="宋体" w:cs="宋体"/>
                <w:szCs w:val="24"/>
              </w:rPr>
            </w:pPr>
            <w:r>
              <w:rPr>
                <w:rFonts w:ascii="宋体" w:eastAsia="宋体" w:cs="宋体"/>
                <w:szCs w:val="24"/>
              </w:rPr>
              <w:t>新赣江</w:t>
            </w:r>
          </w:p>
        </w:tc>
        <w:tc>
          <w:tcPr>
            <w:tcW w:w="172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kern w:val="0"/>
              </w:rPr>
            </w:pPr>
            <w:r>
              <w:rPr>
                <w:rFonts w:ascii="Times New Roman" w:eastAsia="宋体" w:hAnsi="Times New Roman" w:hint="eastAsia"/>
                <w:color w:val="auto"/>
                <w:kern w:val="0"/>
              </w:rPr>
              <w:t>16,135.88</w:t>
            </w:r>
          </w:p>
        </w:tc>
        <w:tc>
          <w:tcPr>
            <w:tcW w:w="144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0</w:t>
            </w:r>
            <w:r>
              <w:rPr>
                <w:rFonts w:ascii="Times New Roman" w:eastAsia="宋体" w:hAnsi="Times New Roman" w:hint="eastAsia"/>
                <w:color w:val="auto"/>
                <w:szCs w:val="24"/>
              </w:rPr>
              <w:t>9</w:t>
            </w:r>
          </w:p>
        </w:tc>
        <w:tc>
          <w:tcPr>
            <w:tcW w:w="1709"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right"/>
              <w:textAlignment w:val="center"/>
              <w:rPr>
                <w:rFonts w:ascii="Times New Roman" w:eastAsia="宋体" w:hAnsi="Times New Roman"/>
                <w:color w:val="auto"/>
              </w:rPr>
            </w:pPr>
            <w:r>
              <w:rPr>
                <w:rFonts w:ascii="Times New Roman" w:eastAsia="宋体" w:hAnsi="Times New Roman" w:hint="eastAsia"/>
                <w:color w:val="auto"/>
              </w:rPr>
              <w:t>9</w:t>
            </w:r>
            <w:r>
              <w:rPr>
                <w:rFonts w:ascii="Times New Roman" w:eastAsia="Times New Roman" w:hAnsi="Times New Roman" w:hint="eastAsia"/>
                <w:color w:val="auto"/>
              </w:rPr>
              <w:t>.</w:t>
            </w:r>
            <w:r>
              <w:rPr>
                <w:rFonts w:ascii="Times New Roman" w:eastAsia="宋体" w:hAnsi="Times New Roman" w:hint="eastAsia"/>
                <w:color w:val="auto"/>
              </w:rPr>
              <w:t>45</w:t>
            </w:r>
          </w:p>
        </w:tc>
        <w:tc>
          <w:tcPr>
            <w:tcW w:w="1785"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Times New Roman" w:hAnsi="Times New Roman"/>
                <w:color w:val="auto"/>
              </w:rPr>
            </w:pPr>
            <w:r>
              <w:rPr>
                <w:rFonts w:ascii="Times New Roman" w:eastAsia="Times New Roman" w:hAnsi="Times New Roman" w:hint="eastAsia"/>
                <w:color w:val="auto"/>
              </w:rPr>
              <w:t>1</w:t>
            </w:r>
            <w:r>
              <w:rPr>
                <w:rFonts w:ascii="Times New Roman" w:eastAsia="宋体" w:hAnsi="Times New Roman" w:hint="eastAsia"/>
                <w:color w:val="auto"/>
              </w:rPr>
              <w:t>,7</w:t>
            </w:r>
            <w:r>
              <w:rPr>
                <w:rFonts w:ascii="Times New Roman" w:eastAsia="Times New Roman" w:hAnsi="Times New Roman" w:hint="eastAsia"/>
                <w:color w:val="auto"/>
              </w:rPr>
              <w:t>0</w:t>
            </w:r>
            <w:r>
              <w:rPr>
                <w:rFonts w:ascii="Times New Roman" w:eastAsia="宋体" w:hAnsi="Times New Roman" w:hint="eastAsia"/>
                <w:color w:val="auto"/>
              </w:rPr>
              <w:t>7</w:t>
            </w:r>
            <w:r>
              <w:rPr>
                <w:rFonts w:ascii="Times New Roman" w:eastAsia="Times New Roman" w:hAnsi="Times New Roman" w:hint="eastAsia"/>
                <w:color w:val="auto"/>
              </w:rPr>
              <w:t>.</w:t>
            </w:r>
            <w:r>
              <w:rPr>
                <w:rFonts w:ascii="Times New Roman" w:eastAsia="宋体" w:hAnsi="Times New Roman" w:hint="eastAsia"/>
                <w:color w:val="auto"/>
              </w:rPr>
              <w:t>5</w:t>
            </w:r>
            <w:r>
              <w:rPr>
                <w:rFonts w:ascii="Times New Roman" w:eastAsia="Times New Roman" w:hAnsi="Times New Roman" w:hint="eastAsia"/>
                <w:color w:val="auto"/>
              </w:rPr>
              <w:t>0</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rPr>
            </w:pPr>
            <w:r>
              <w:rPr>
                <w:rFonts w:ascii="Times New Roman" w:eastAsia="宋体" w:hAnsi="Times New Roman" w:hint="eastAsia"/>
                <w:color w:val="auto"/>
              </w:rPr>
              <w:lastRenderedPageBreak/>
              <w:t>834407</w:t>
            </w:r>
          </w:p>
        </w:tc>
        <w:tc>
          <w:tcPr>
            <w:tcW w:w="1394"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宋体" w:eastAsia="宋体" w:cs="宋体"/>
                <w:szCs w:val="24"/>
              </w:rPr>
            </w:pPr>
            <w:r>
              <w:rPr>
                <w:rFonts w:ascii="宋体" w:eastAsia="宋体" w:cs="宋体"/>
                <w:szCs w:val="24"/>
              </w:rPr>
              <w:t>驰诚股份</w:t>
            </w:r>
          </w:p>
        </w:tc>
        <w:tc>
          <w:tcPr>
            <w:tcW w:w="172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kern w:val="0"/>
              </w:rPr>
            </w:pPr>
            <w:r>
              <w:rPr>
                <w:rFonts w:ascii="Times New Roman" w:eastAsia="宋体" w:hAnsi="Times New Roman" w:hint="eastAsia"/>
                <w:color w:val="auto"/>
                <w:kern w:val="0"/>
              </w:rPr>
              <w:t>5,870.00</w:t>
            </w:r>
          </w:p>
        </w:tc>
        <w:tc>
          <w:tcPr>
            <w:tcW w:w="144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16</w:t>
            </w:r>
          </w:p>
        </w:tc>
        <w:tc>
          <w:tcPr>
            <w:tcW w:w="1709"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right"/>
              <w:textAlignment w:val="center"/>
              <w:rPr>
                <w:rFonts w:ascii="Times New Roman" w:eastAsia="宋体" w:hAnsi="Times New Roman"/>
                <w:color w:val="auto"/>
              </w:rPr>
            </w:pPr>
            <w:r>
              <w:rPr>
                <w:rFonts w:ascii="Times New Roman" w:eastAsia="宋体" w:hAnsi="Times New Roman" w:hint="eastAsia"/>
                <w:color w:val="auto"/>
              </w:rPr>
              <w:t>5</w:t>
            </w:r>
            <w:r>
              <w:rPr>
                <w:rFonts w:ascii="Times New Roman" w:eastAsia="Times New Roman" w:hAnsi="Times New Roman" w:hint="eastAsia"/>
                <w:color w:val="auto"/>
              </w:rPr>
              <w:t>.</w:t>
            </w:r>
            <w:r>
              <w:rPr>
                <w:rFonts w:ascii="Times New Roman" w:eastAsia="宋体" w:hAnsi="Times New Roman" w:hint="eastAsia"/>
                <w:color w:val="auto"/>
              </w:rPr>
              <w:t>87</w:t>
            </w:r>
          </w:p>
        </w:tc>
        <w:tc>
          <w:tcPr>
            <w:tcW w:w="1785"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rPr>
            </w:pPr>
            <w:r>
              <w:rPr>
                <w:rFonts w:ascii="Times New Roman" w:eastAsia="宋体" w:hAnsi="Times New Roman" w:hint="eastAsia"/>
                <w:color w:val="auto"/>
              </w:rPr>
              <w:t>1,000.00</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rPr>
            </w:pPr>
            <w:r>
              <w:rPr>
                <w:rFonts w:ascii="Times New Roman" w:eastAsia="宋体" w:hAnsi="Times New Roman" w:hint="eastAsia"/>
                <w:color w:val="auto"/>
              </w:rPr>
              <w:t>832149</w:t>
            </w:r>
          </w:p>
        </w:tc>
        <w:tc>
          <w:tcPr>
            <w:tcW w:w="1394"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宋体" w:eastAsia="宋体" w:cs="宋体"/>
                <w:szCs w:val="24"/>
              </w:rPr>
            </w:pPr>
            <w:r>
              <w:rPr>
                <w:rFonts w:ascii="宋体" w:eastAsia="宋体" w:cs="宋体"/>
                <w:szCs w:val="24"/>
              </w:rPr>
              <w:t>利尔达</w:t>
            </w:r>
          </w:p>
        </w:tc>
        <w:tc>
          <w:tcPr>
            <w:tcW w:w="172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kern w:val="0"/>
              </w:rPr>
            </w:pPr>
            <w:r>
              <w:rPr>
                <w:rFonts w:ascii="Times New Roman" w:eastAsia="宋体" w:hAnsi="Times New Roman" w:hint="eastAsia"/>
                <w:color w:val="auto"/>
                <w:kern w:val="0"/>
              </w:rPr>
              <w:t>9,900.00</w:t>
            </w:r>
          </w:p>
        </w:tc>
        <w:tc>
          <w:tcPr>
            <w:tcW w:w="144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17</w:t>
            </w:r>
          </w:p>
        </w:tc>
        <w:tc>
          <w:tcPr>
            <w:tcW w:w="1709"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right"/>
              <w:textAlignment w:val="center"/>
              <w:rPr>
                <w:rFonts w:ascii="Times New Roman" w:eastAsia="宋体" w:hAnsi="Times New Roman"/>
                <w:color w:val="auto"/>
              </w:rPr>
            </w:pPr>
            <w:r>
              <w:rPr>
                <w:rFonts w:ascii="Times New Roman" w:eastAsia="宋体" w:hAnsi="Times New Roman" w:hint="eastAsia"/>
                <w:color w:val="auto"/>
              </w:rPr>
              <w:t>5.00</w:t>
            </w:r>
          </w:p>
        </w:tc>
        <w:tc>
          <w:tcPr>
            <w:tcW w:w="1785"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rPr>
            </w:pPr>
            <w:r>
              <w:rPr>
                <w:rFonts w:ascii="Times New Roman" w:eastAsia="宋体" w:hAnsi="Times New Roman" w:hint="eastAsia"/>
                <w:color w:val="auto"/>
              </w:rPr>
              <w:t>1,980.00</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rPr>
            </w:pPr>
            <w:r>
              <w:rPr>
                <w:rFonts w:ascii="Times New Roman" w:eastAsia="宋体" w:hAnsi="Times New Roman" w:hint="eastAsia"/>
                <w:color w:val="auto"/>
              </w:rPr>
              <w:t>839273</w:t>
            </w:r>
          </w:p>
        </w:tc>
        <w:tc>
          <w:tcPr>
            <w:tcW w:w="1394"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宋体" w:eastAsia="宋体" w:cs="宋体"/>
                <w:szCs w:val="24"/>
              </w:rPr>
            </w:pPr>
            <w:r>
              <w:rPr>
                <w:rFonts w:ascii="宋体" w:eastAsia="宋体" w:cs="宋体"/>
                <w:szCs w:val="24"/>
              </w:rPr>
              <w:t>一致魔芋</w:t>
            </w:r>
          </w:p>
        </w:tc>
        <w:tc>
          <w:tcPr>
            <w:tcW w:w="172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kern w:val="0"/>
              </w:rPr>
            </w:pPr>
            <w:r>
              <w:rPr>
                <w:rFonts w:ascii="Times New Roman" w:eastAsia="宋体" w:hAnsi="Times New Roman" w:hint="eastAsia"/>
                <w:color w:val="auto"/>
                <w:kern w:val="0"/>
              </w:rPr>
              <w:t>15,363.00</w:t>
            </w:r>
          </w:p>
        </w:tc>
        <w:tc>
          <w:tcPr>
            <w:tcW w:w="144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21</w:t>
            </w:r>
          </w:p>
        </w:tc>
        <w:tc>
          <w:tcPr>
            <w:tcW w:w="1709"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right"/>
              <w:textAlignment w:val="center"/>
              <w:rPr>
                <w:rFonts w:ascii="Times New Roman" w:eastAsia="宋体" w:hAnsi="Times New Roman"/>
                <w:color w:val="auto"/>
              </w:rPr>
            </w:pPr>
            <w:r>
              <w:rPr>
                <w:rFonts w:ascii="Times New Roman" w:eastAsia="宋体" w:hAnsi="Times New Roman" w:hint="eastAsia"/>
                <w:color w:val="auto"/>
              </w:rPr>
              <w:t>11.38</w:t>
            </w:r>
          </w:p>
        </w:tc>
        <w:tc>
          <w:tcPr>
            <w:tcW w:w="1785"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rPr>
            </w:pPr>
            <w:r>
              <w:rPr>
                <w:rFonts w:ascii="Times New Roman" w:eastAsia="宋体" w:hAnsi="Times New Roman" w:hint="eastAsia"/>
                <w:color w:val="auto"/>
              </w:rPr>
              <w:t>1,350.00</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rPr>
            </w:pPr>
            <w:r>
              <w:rPr>
                <w:rFonts w:ascii="Times New Roman" w:eastAsia="宋体" w:hAnsi="Times New Roman" w:hint="eastAsia"/>
                <w:color w:val="auto"/>
              </w:rPr>
              <w:t>831906</w:t>
            </w:r>
          </w:p>
        </w:tc>
        <w:tc>
          <w:tcPr>
            <w:tcW w:w="1394"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宋体" w:eastAsia="宋体" w:cs="宋体"/>
                <w:szCs w:val="24"/>
              </w:rPr>
            </w:pPr>
            <w:r>
              <w:rPr>
                <w:rFonts w:ascii="宋体" w:eastAsia="宋体" w:cs="宋体"/>
                <w:szCs w:val="24"/>
              </w:rPr>
              <w:t>舜宇精工</w:t>
            </w:r>
          </w:p>
        </w:tc>
        <w:tc>
          <w:tcPr>
            <w:tcW w:w="172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kern w:val="0"/>
              </w:rPr>
            </w:pPr>
            <w:r>
              <w:rPr>
                <w:rFonts w:ascii="Times New Roman" w:eastAsia="宋体" w:hAnsi="Times New Roman" w:hint="eastAsia"/>
                <w:color w:val="auto"/>
                <w:kern w:val="0"/>
              </w:rPr>
              <w:t>8,800.00</w:t>
            </w:r>
          </w:p>
        </w:tc>
        <w:tc>
          <w:tcPr>
            <w:tcW w:w="144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22</w:t>
            </w:r>
          </w:p>
        </w:tc>
        <w:tc>
          <w:tcPr>
            <w:tcW w:w="1709"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right"/>
              <w:textAlignment w:val="center"/>
              <w:rPr>
                <w:rFonts w:ascii="Times New Roman" w:eastAsia="宋体" w:hAnsi="Times New Roman"/>
                <w:color w:val="auto"/>
              </w:rPr>
            </w:pPr>
            <w:r>
              <w:rPr>
                <w:rFonts w:ascii="Times New Roman" w:eastAsia="宋体" w:hAnsi="Times New Roman" w:hint="eastAsia"/>
                <w:color w:val="auto"/>
              </w:rPr>
              <w:t>11.00</w:t>
            </w:r>
          </w:p>
        </w:tc>
        <w:tc>
          <w:tcPr>
            <w:tcW w:w="1785"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rPr>
            </w:pPr>
            <w:r>
              <w:rPr>
                <w:rFonts w:ascii="Times New Roman" w:eastAsia="宋体" w:hAnsi="Times New Roman" w:hint="eastAsia"/>
                <w:color w:val="auto"/>
                <w:kern w:val="0"/>
              </w:rPr>
              <w:t>800.00</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rPr>
            </w:pPr>
            <w:r>
              <w:rPr>
                <w:rFonts w:ascii="Times New Roman" w:eastAsia="宋体" w:hAnsi="Times New Roman" w:hint="eastAsia"/>
                <w:color w:val="auto"/>
              </w:rPr>
              <w:t>430478</w:t>
            </w:r>
          </w:p>
        </w:tc>
        <w:tc>
          <w:tcPr>
            <w:tcW w:w="1394"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宋体" w:eastAsia="宋体" w:cs="宋体"/>
                <w:szCs w:val="24"/>
              </w:rPr>
            </w:pPr>
            <w:r>
              <w:rPr>
                <w:rFonts w:ascii="宋体" w:eastAsia="宋体" w:cs="宋体"/>
                <w:szCs w:val="24"/>
              </w:rPr>
              <w:t>峆一药业</w:t>
            </w:r>
          </w:p>
        </w:tc>
        <w:tc>
          <w:tcPr>
            <w:tcW w:w="172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kern w:val="0"/>
              </w:rPr>
            </w:pPr>
            <w:r>
              <w:rPr>
                <w:rFonts w:ascii="Times New Roman" w:eastAsia="宋体" w:hAnsi="Times New Roman" w:hint="eastAsia"/>
                <w:color w:val="auto"/>
                <w:kern w:val="0"/>
              </w:rPr>
              <w:t>11,105.60</w:t>
            </w:r>
          </w:p>
        </w:tc>
        <w:tc>
          <w:tcPr>
            <w:tcW w:w="144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23</w:t>
            </w:r>
          </w:p>
        </w:tc>
        <w:tc>
          <w:tcPr>
            <w:tcW w:w="1709"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right"/>
              <w:textAlignment w:val="center"/>
              <w:rPr>
                <w:rFonts w:ascii="Times New Roman" w:eastAsia="宋体" w:hAnsi="Times New Roman"/>
                <w:color w:val="auto"/>
              </w:rPr>
            </w:pPr>
            <w:r>
              <w:rPr>
                <w:rFonts w:ascii="Times New Roman" w:eastAsia="宋体" w:hAnsi="Times New Roman" w:hint="eastAsia"/>
                <w:color w:val="auto"/>
              </w:rPr>
              <w:t>12.62</w:t>
            </w:r>
          </w:p>
        </w:tc>
        <w:tc>
          <w:tcPr>
            <w:tcW w:w="1785"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rPr>
            </w:pPr>
            <w:r>
              <w:rPr>
                <w:rFonts w:ascii="Times New Roman" w:eastAsia="宋体" w:hAnsi="Times New Roman" w:hint="eastAsia"/>
                <w:color w:val="auto"/>
                <w:kern w:val="0"/>
              </w:rPr>
              <w:t>880.00</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5B7551">
            <w:pPr>
              <w:shd w:val="solid" w:color="FFFFFF" w:fill="auto"/>
              <w:autoSpaceDN w:val="0"/>
              <w:jc w:val="center"/>
              <w:textAlignment w:val="center"/>
              <w:rPr>
                <w:rFonts w:ascii="Times New Roman" w:eastAsia="宋体" w:hAnsi="Times New Roman"/>
                <w:color w:val="auto"/>
              </w:rPr>
            </w:pPr>
            <w:hyperlink r:id="rId16" w:tgtFrame="https://www.bse.cn/newshare/_blank" w:history="1">
              <w:r w:rsidR="00252D0C">
                <w:rPr>
                  <w:rFonts w:ascii="Times New Roman" w:eastAsia="宋体" w:hAnsi="Times New Roman" w:hint="eastAsia"/>
                  <w:color w:val="auto"/>
                </w:rPr>
                <w:t>834770</w:t>
              </w:r>
            </w:hyperlink>
          </w:p>
        </w:tc>
        <w:tc>
          <w:tcPr>
            <w:tcW w:w="1394"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宋体" w:eastAsia="宋体" w:cs="宋体"/>
                <w:szCs w:val="24"/>
              </w:rPr>
            </w:pPr>
            <w:r>
              <w:rPr>
                <w:rFonts w:ascii="宋体" w:eastAsia="宋体" w:cs="宋体"/>
                <w:szCs w:val="24"/>
              </w:rPr>
              <w:t>艾能聚</w:t>
            </w:r>
          </w:p>
        </w:tc>
        <w:tc>
          <w:tcPr>
            <w:tcW w:w="172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kern w:val="0"/>
              </w:rPr>
            </w:pPr>
            <w:r>
              <w:rPr>
                <w:rFonts w:ascii="Times New Roman" w:eastAsia="宋体" w:hAnsi="Times New Roman" w:hint="eastAsia"/>
                <w:color w:val="auto"/>
                <w:kern w:val="0"/>
              </w:rPr>
              <w:t>11,960.00</w:t>
            </w:r>
          </w:p>
        </w:tc>
        <w:tc>
          <w:tcPr>
            <w:tcW w:w="144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宋体" w:hAnsi="Times New Roman"/>
                <w:color w:val="auto"/>
                <w:szCs w:val="24"/>
              </w:rPr>
            </w:pPr>
            <w:r>
              <w:rPr>
                <w:rFonts w:ascii="Times New Roman" w:eastAsia="宋体" w:hAnsi="Times New Roman" w:hint="eastAsia"/>
                <w:color w:val="auto"/>
                <w:szCs w:val="24"/>
              </w:rPr>
              <w:t>2023-0</w:t>
            </w:r>
            <w:r>
              <w:rPr>
                <w:rFonts w:ascii="Times New Roman" w:eastAsia="宋体" w:hAnsi="Times New Roman" w:hint="eastAsia"/>
                <w:color w:val="auto"/>
                <w:szCs w:val="24"/>
              </w:rPr>
              <w:t>2</w:t>
            </w:r>
            <w:r>
              <w:rPr>
                <w:rFonts w:ascii="Times New Roman" w:eastAsia="宋体" w:hAnsi="Times New Roman" w:hint="eastAsia"/>
                <w:color w:val="auto"/>
                <w:szCs w:val="24"/>
              </w:rPr>
              <w:t>-</w:t>
            </w:r>
            <w:r>
              <w:rPr>
                <w:rFonts w:ascii="Times New Roman" w:eastAsia="宋体" w:hAnsi="Times New Roman" w:hint="eastAsia"/>
                <w:color w:val="auto"/>
                <w:szCs w:val="24"/>
              </w:rPr>
              <w:t>28</w:t>
            </w:r>
          </w:p>
        </w:tc>
        <w:tc>
          <w:tcPr>
            <w:tcW w:w="1709"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right"/>
              <w:textAlignment w:val="center"/>
              <w:rPr>
                <w:rFonts w:ascii="Times New Roman" w:eastAsia="宋体" w:hAnsi="Times New Roman"/>
                <w:color w:val="auto"/>
              </w:rPr>
            </w:pPr>
            <w:r>
              <w:rPr>
                <w:rFonts w:ascii="Times New Roman" w:eastAsia="宋体" w:hAnsi="Times New Roman" w:hint="eastAsia"/>
                <w:color w:val="auto"/>
              </w:rPr>
              <w:t>5.98</w:t>
            </w:r>
          </w:p>
        </w:tc>
        <w:tc>
          <w:tcPr>
            <w:tcW w:w="1785"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widowControl/>
              <w:jc w:val="right"/>
              <w:textAlignment w:val="center"/>
              <w:rPr>
                <w:rFonts w:ascii="Times New Roman" w:eastAsia="宋体" w:hAnsi="Times New Roman"/>
                <w:color w:val="auto"/>
                <w:kern w:val="0"/>
              </w:rPr>
            </w:pPr>
            <w:r>
              <w:rPr>
                <w:rFonts w:ascii="Times New Roman" w:eastAsia="宋体" w:hAnsi="Times New Roman" w:hint="eastAsia"/>
                <w:color w:val="auto"/>
              </w:rPr>
              <w:t>2,000.00</w:t>
            </w:r>
          </w:p>
        </w:tc>
      </w:tr>
      <w:tr w:rsidR="005B7551">
        <w:trPr>
          <w:trHeight w:hRule="exact" w:val="482"/>
        </w:trPr>
        <w:tc>
          <w:tcPr>
            <w:tcW w:w="1238"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252D0C">
            <w:pPr>
              <w:shd w:val="solid" w:color="FFFFFF" w:fill="auto"/>
              <w:autoSpaceDN w:val="0"/>
              <w:jc w:val="center"/>
              <w:textAlignment w:val="center"/>
              <w:rPr>
                <w:rFonts w:ascii="Times New Roman" w:eastAsia="Times New Roman" w:hAnsi="Times New Roman"/>
                <w:color w:val="auto"/>
              </w:rPr>
            </w:pPr>
            <w:r>
              <w:rPr>
                <w:rFonts w:ascii="宋体" w:eastAsia="宋体" w:hAnsi="Times New Roman"/>
                <w:color w:val="auto"/>
              </w:rPr>
              <w:t>总计</w:t>
            </w:r>
          </w:p>
        </w:tc>
        <w:tc>
          <w:tcPr>
            <w:tcW w:w="1394"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5B7551">
            <w:pPr>
              <w:shd w:val="solid" w:color="FFFFFF" w:fill="auto"/>
              <w:autoSpaceDN w:val="0"/>
              <w:jc w:val="center"/>
              <w:textAlignment w:val="center"/>
              <w:rPr>
                <w:rFonts w:ascii="Times New Roman" w:eastAsia="Times New Roman" w:hAnsi="Times New Roman"/>
                <w:color w:val="auto"/>
              </w:rPr>
            </w:pPr>
          </w:p>
        </w:tc>
        <w:tc>
          <w:tcPr>
            <w:tcW w:w="172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5B7551">
            <w:pPr>
              <w:widowControl/>
              <w:jc w:val="right"/>
              <w:textAlignment w:val="center"/>
              <w:rPr>
                <w:rFonts w:ascii="Times New Roman" w:eastAsia="Times New Roman" w:hAnsi="Times New Roman"/>
                <w:color w:val="auto"/>
              </w:rPr>
            </w:pPr>
            <w:r>
              <w:rPr>
                <w:rFonts w:ascii="Times New Roman" w:eastAsia="宋体" w:hAnsi="Times New Roman" w:hint="eastAsia"/>
                <w:color w:val="auto"/>
                <w:kern w:val="0"/>
              </w:rPr>
              <w:fldChar w:fldCharType="begin"/>
            </w:r>
            <w:r w:rsidR="00252D0C">
              <w:rPr>
                <w:rFonts w:ascii="Times New Roman" w:eastAsia="宋体" w:hAnsi="Times New Roman" w:hint="eastAsia"/>
                <w:color w:val="auto"/>
                <w:kern w:val="0"/>
              </w:rPr>
              <w:instrText xml:space="preserve"> = sum(C2:C5) \* MERGEFORMAT </w:instrText>
            </w:r>
            <w:r>
              <w:rPr>
                <w:rFonts w:ascii="Times New Roman" w:eastAsia="宋体" w:hAnsi="Times New Roman" w:hint="eastAsia"/>
                <w:color w:val="auto"/>
                <w:kern w:val="0"/>
              </w:rPr>
              <w:fldChar w:fldCharType="separate"/>
            </w:r>
            <w:r w:rsidR="00252D0C">
              <w:rPr>
                <w:rFonts w:ascii="Times New Roman" w:eastAsia="宋体" w:hAnsi="Times New Roman" w:hint="eastAsia"/>
                <w:color w:val="auto"/>
                <w:kern w:val="0"/>
              </w:rPr>
              <w:t>104,727.29</w:t>
            </w:r>
            <w:r>
              <w:rPr>
                <w:rFonts w:ascii="Times New Roman" w:eastAsia="宋体" w:hAnsi="Times New Roman" w:hint="eastAsia"/>
                <w:color w:val="auto"/>
                <w:kern w:val="0"/>
              </w:rPr>
              <w:fldChar w:fldCharType="end"/>
            </w:r>
            <w:r w:rsidR="00252D0C">
              <w:rPr>
                <w:rFonts w:ascii="宋体" w:eastAsia="宋体" w:hAnsi="Times New Roman"/>
                <w:color w:val="auto"/>
              </w:rPr>
              <w:t xml:space="preserve">  </w:t>
            </w:r>
          </w:p>
        </w:tc>
        <w:tc>
          <w:tcPr>
            <w:tcW w:w="1441"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5B7551">
            <w:pPr>
              <w:shd w:val="solid" w:color="FFFFFF" w:fill="auto"/>
              <w:autoSpaceDN w:val="0"/>
              <w:jc w:val="center"/>
              <w:textAlignment w:val="center"/>
              <w:rPr>
                <w:rFonts w:ascii="Times New Roman" w:eastAsia="Times New Roman" w:hAnsi="Times New Roman"/>
                <w:color w:val="auto"/>
              </w:rPr>
            </w:pPr>
          </w:p>
        </w:tc>
        <w:tc>
          <w:tcPr>
            <w:tcW w:w="1709"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5B7551">
            <w:pPr>
              <w:shd w:val="solid" w:color="FFFFFF" w:fill="auto"/>
              <w:autoSpaceDN w:val="0"/>
              <w:jc w:val="right"/>
              <w:textAlignment w:val="center"/>
              <w:rPr>
                <w:rFonts w:ascii="Times New Roman" w:eastAsia="Times New Roman" w:hAnsi="Times New Roman"/>
                <w:color w:val="auto"/>
              </w:rPr>
            </w:pPr>
          </w:p>
        </w:tc>
        <w:tc>
          <w:tcPr>
            <w:tcW w:w="1785" w:type="dxa"/>
            <w:tcBorders>
              <w:top w:val="single" w:sz="4" w:space="0" w:color="auto"/>
              <w:left w:val="single" w:sz="4" w:space="0" w:color="auto"/>
              <w:bottom w:val="single" w:sz="4" w:space="0" w:color="auto"/>
              <w:right w:val="single" w:sz="4" w:space="0" w:color="auto"/>
              <w:tl2br w:val="nil"/>
              <w:tr2bl w:val="nil"/>
            </w:tcBorders>
            <w:shd w:val="clear" w:color="000000" w:fill="FFFFFF"/>
            <w:vAlign w:val="center"/>
          </w:tcPr>
          <w:p w:rsidR="005B7551" w:rsidRDefault="005B7551">
            <w:pPr>
              <w:widowControl/>
              <w:jc w:val="right"/>
              <w:textAlignment w:val="center"/>
              <w:rPr>
                <w:rFonts w:ascii="Times New Roman" w:eastAsia="Times New Roman" w:hAnsi="Times New Roman"/>
                <w:color w:val="auto"/>
              </w:rPr>
            </w:pPr>
            <w:r>
              <w:rPr>
                <w:rFonts w:ascii="Times New Roman" w:eastAsia="宋体" w:hAnsi="Times New Roman" w:hint="eastAsia"/>
                <w:color w:val="auto"/>
              </w:rPr>
              <w:fldChar w:fldCharType="begin"/>
            </w:r>
            <w:r w:rsidR="00252D0C">
              <w:rPr>
                <w:rFonts w:ascii="Times New Roman" w:eastAsia="宋体" w:hAnsi="Times New Roman" w:hint="eastAsia"/>
                <w:color w:val="auto"/>
              </w:rPr>
              <w:instrText xml:space="preserve"> = sum(F2:F5) \* MERGEFORMAT </w:instrText>
            </w:r>
            <w:r>
              <w:rPr>
                <w:rFonts w:ascii="Times New Roman" w:eastAsia="宋体" w:hAnsi="Times New Roman" w:hint="eastAsia"/>
                <w:color w:val="auto"/>
              </w:rPr>
              <w:fldChar w:fldCharType="separate"/>
            </w:r>
            <w:r w:rsidR="00252D0C">
              <w:rPr>
                <w:rFonts w:ascii="Times New Roman" w:eastAsia="宋体" w:hAnsi="Times New Roman" w:hint="eastAsia"/>
                <w:color w:val="auto"/>
              </w:rPr>
              <w:t>15,672.57</w:t>
            </w:r>
            <w:r>
              <w:rPr>
                <w:rFonts w:ascii="Times New Roman" w:eastAsia="宋体" w:hAnsi="Times New Roman" w:hint="eastAsia"/>
                <w:color w:val="auto"/>
              </w:rPr>
              <w:fldChar w:fldCharType="end"/>
            </w:r>
            <w:r w:rsidR="00252D0C">
              <w:rPr>
                <w:rFonts w:ascii="宋体" w:eastAsia="宋体"/>
                <w:color w:val="auto"/>
                <w:kern w:val="0"/>
                <w:sz w:val="22"/>
              </w:rPr>
              <w:t xml:space="preserve">  </w:t>
            </w:r>
          </w:p>
        </w:tc>
      </w:tr>
    </w:tbl>
    <w:p w:rsidR="005B7551" w:rsidRDefault="00252D0C" w:rsidP="000334EE">
      <w:pPr>
        <w:tabs>
          <w:tab w:val="left" w:pos="7560"/>
          <w:tab w:val="left" w:pos="8100"/>
        </w:tabs>
        <w:spacing w:afterLines="50"/>
        <w:jc w:val="right"/>
        <w:rPr>
          <w:rFonts w:ascii="Times New Roman" w:eastAsia="宋体" w:hAnsi="Times New Roman"/>
          <w:color w:val="auto"/>
          <w:szCs w:val="24"/>
        </w:rPr>
      </w:pPr>
      <w:r>
        <w:rPr>
          <w:rFonts w:ascii="Times New Roman" w:eastAsia="宋体" w:hAnsi="Times New Roman" w:hint="eastAsia"/>
          <w:color w:val="auto"/>
          <w:szCs w:val="24"/>
        </w:rPr>
        <w:t>上述信息来源：北交所网站</w:t>
      </w:r>
    </w:p>
    <w:p w:rsidR="005B7551" w:rsidRDefault="00252D0C" w:rsidP="000334EE">
      <w:pPr>
        <w:numPr>
          <w:ilvl w:val="1"/>
          <w:numId w:val="1"/>
        </w:numPr>
        <w:tabs>
          <w:tab w:val="clear" w:pos="846"/>
          <w:tab w:val="left" w:pos="0"/>
          <w:tab w:val="left" w:pos="840"/>
        </w:tabs>
        <w:spacing w:afterLines="50" w:line="360" w:lineRule="auto"/>
        <w:ind w:left="0" w:firstLineChars="200" w:firstLine="480"/>
        <w:rPr>
          <w:rFonts w:ascii="Times New Roman" w:eastAsia="宋体" w:hAnsi="Times New Roman"/>
          <w:color w:val="auto"/>
          <w:szCs w:val="24"/>
        </w:rPr>
      </w:pPr>
      <w:r>
        <w:rPr>
          <w:rFonts w:ascii="Times New Roman" w:eastAsia="宋体" w:hAnsi="Times New Roman"/>
          <w:color w:val="auto"/>
          <w:szCs w:val="24"/>
        </w:rPr>
        <w:t>全国中小企业股份转让系统公司挂牌情况</w:t>
      </w:r>
    </w:p>
    <w:p w:rsidR="005B7551" w:rsidRDefault="00252D0C" w:rsidP="000334EE">
      <w:pPr>
        <w:widowControl/>
        <w:snapToGrid w:val="0"/>
        <w:spacing w:afterLines="50" w:line="360" w:lineRule="auto"/>
        <w:ind w:firstLineChars="200" w:firstLine="480"/>
        <w:rPr>
          <w:rFonts w:ascii="Times New Roman" w:eastAsia="宋体" w:hAnsi="Times New Roman"/>
          <w:color w:val="auto"/>
          <w:kern w:val="0"/>
        </w:rPr>
      </w:pPr>
      <w:r>
        <w:rPr>
          <w:rFonts w:ascii="Times New Roman" w:eastAsia="宋体" w:hAnsi="Times New Roman" w:hint="eastAsia"/>
          <w:color w:val="auto"/>
          <w:kern w:val="0"/>
        </w:rPr>
        <w:t>自</w:t>
      </w:r>
      <w:r>
        <w:rPr>
          <w:rFonts w:ascii="Times New Roman" w:eastAsia="宋体" w:hAnsi="Times New Roman" w:hint="eastAsia"/>
          <w:color w:val="auto"/>
          <w:kern w:val="0"/>
        </w:rPr>
        <w:t>202</w:t>
      </w:r>
      <w:r>
        <w:rPr>
          <w:rFonts w:ascii="Times New Roman" w:eastAsia="宋体" w:hAnsi="Times New Roman" w:hint="eastAsia"/>
          <w:color w:val="auto"/>
          <w:kern w:val="0"/>
        </w:rPr>
        <w:t>3</w:t>
      </w:r>
      <w:r>
        <w:rPr>
          <w:rFonts w:ascii="Times New Roman" w:eastAsia="宋体" w:hAnsi="Times New Roman" w:hint="eastAsia"/>
          <w:color w:val="auto"/>
          <w:kern w:val="0"/>
        </w:rPr>
        <w:t>年</w:t>
      </w:r>
      <w:r>
        <w:rPr>
          <w:rFonts w:ascii="Times New Roman" w:eastAsia="宋体" w:hAnsi="Times New Roman"/>
          <w:color w:val="auto"/>
          <w:kern w:val="0"/>
        </w:rPr>
        <w:t>2</w:t>
      </w:r>
      <w:r>
        <w:rPr>
          <w:rFonts w:ascii="Times New Roman" w:eastAsia="宋体" w:hAnsi="Times New Roman" w:hint="eastAsia"/>
          <w:color w:val="auto"/>
          <w:kern w:val="0"/>
        </w:rPr>
        <w:t>月</w:t>
      </w:r>
      <w:r>
        <w:rPr>
          <w:rFonts w:ascii="Times New Roman" w:eastAsia="宋体" w:hAnsi="Times New Roman" w:hint="eastAsia"/>
          <w:color w:val="auto"/>
          <w:kern w:val="0"/>
        </w:rPr>
        <w:t>1</w:t>
      </w:r>
      <w:r>
        <w:rPr>
          <w:rFonts w:ascii="Times New Roman" w:eastAsia="宋体" w:hAnsi="Times New Roman" w:hint="eastAsia"/>
          <w:color w:val="auto"/>
          <w:kern w:val="0"/>
        </w:rPr>
        <w:t>日至</w:t>
      </w:r>
      <w:r>
        <w:rPr>
          <w:rFonts w:ascii="Times New Roman" w:eastAsia="宋体" w:hAnsi="Times New Roman" w:hint="eastAsia"/>
          <w:color w:val="auto"/>
          <w:kern w:val="0"/>
        </w:rPr>
        <w:t>202</w:t>
      </w:r>
      <w:r>
        <w:rPr>
          <w:rFonts w:ascii="Times New Roman" w:eastAsia="宋体" w:hAnsi="Times New Roman" w:hint="eastAsia"/>
          <w:color w:val="auto"/>
          <w:kern w:val="0"/>
        </w:rPr>
        <w:t>3</w:t>
      </w:r>
      <w:r>
        <w:rPr>
          <w:rFonts w:ascii="Times New Roman" w:eastAsia="宋体" w:hAnsi="Times New Roman" w:hint="eastAsia"/>
          <w:color w:val="auto"/>
          <w:kern w:val="0"/>
        </w:rPr>
        <w:t>年</w:t>
      </w:r>
      <w:r>
        <w:rPr>
          <w:rFonts w:ascii="Times New Roman" w:eastAsia="宋体" w:hAnsi="Times New Roman" w:hint="eastAsia"/>
          <w:color w:val="auto"/>
          <w:kern w:val="0"/>
        </w:rPr>
        <w:t>2</w:t>
      </w:r>
      <w:r>
        <w:rPr>
          <w:rFonts w:ascii="Times New Roman" w:eastAsia="宋体" w:hAnsi="Times New Roman" w:hint="eastAsia"/>
          <w:color w:val="auto"/>
          <w:kern w:val="0"/>
        </w:rPr>
        <w:t>月</w:t>
      </w:r>
      <w:r>
        <w:rPr>
          <w:rFonts w:ascii="Times New Roman" w:eastAsia="宋体" w:hAnsi="Times New Roman" w:hint="eastAsia"/>
          <w:color w:val="auto"/>
          <w:kern w:val="0"/>
        </w:rPr>
        <w:t>28</w:t>
      </w:r>
      <w:r>
        <w:rPr>
          <w:rFonts w:ascii="Times New Roman" w:eastAsia="宋体" w:hAnsi="Times New Roman" w:hint="eastAsia"/>
          <w:color w:val="auto"/>
          <w:kern w:val="0"/>
        </w:rPr>
        <w:t>日，全国中小企业股份转让系统新增挂牌公司</w:t>
      </w:r>
      <w:r>
        <w:rPr>
          <w:rFonts w:ascii="Times New Roman" w:eastAsia="宋体" w:hAnsi="Times New Roman" w:hint="eastAsia"/>
          <w:color w:val="auto"/>
          <w:kern w:val="0"/>
        </w:rPr>
        <w:t>11</w:t>
      </w:r>
      <w:r>
        <w:rPr>
          <w:rFonts w:ascii="Times New Roman" w:eastAsia="宋体" w:hAnsi="Times New Roman" w:hint="eastAsia"/>
          <w:color w:val="auto"/>
          <w:kern w:val="0"/>
        </w:rPr>
        <w:t>家，截止</w:t>
      </w:r>
      <w:r>
        <w:rPr>
          <w:rFonts w:ascii="Times New Roman" w:eastAsia="宋体" w:hAnsi="Times New Roman" w:hint="eastAsia"/>
          <w:color w:val="auto"/>
          <w:kern w:val="0"/>
        </w:rPr>
        <w:t>202</w:t>
      </w:r>
      <w:r>
        <w:rPr>
          <w:rFonts w:ascii="Times New Roman" w:eastAsia="宋体" w:hAnsi="Times New Roman" w:hint="eastAsia"/>
          <w:color w:val="auto"/>
          <w:kern w:val="0"/>
        </w:rPr>
        <w:t>3</w:t>
      </w:r>
      <w:r>
        <w:rPr>
          <w:rFonts w:ascii="Times New Roman" w:eastAsia="宋体" w:hAnsi="Times New Roman" w:hint="eastAsia"/>
          <w:color w:val="auto"/>
          <w:kern w:val="0"/>
        </w:rPr>
        <w:t>年</w:t>
      </w:r>
      <w:r>
        <w:rPr>
          <w:rFonts w:ascii="Times New Roman" w:eastAsia="宋体" w:hAnsi="Times New Roman" w:hint="eastAsia"/>
          <w:color w:val="auto"/>
          <w:kern w:val="0"/>
        </w:rPr>
        <w:t>2</w:t>
      </w:r>
      <w:r>
        <w:rPr>
          <w:rFonts w:ascii="Times New Roman" w:eastAsia="宋体" w:hAnsi="Times New Roman" w:hint="eastAsia"/>
          <w:color w:val="auto"/>
          <w:kern w:val="0"/>
        </w:rPr>
        <w:t>月</w:t>
      </w:r>
      <w:r>
        <w:rPr>
          <w:rFonts w:ascii="Times New Roman" w:eastAsia="宋体" w:hAnsi="Times New Roman" w:hint="eastAsia"/>
          <w:color w:val="auto"/>
          <w:kern w:val="0"/>
        </w:rPr>
        <w:t>28</w:t>
      </w:r>
      <w:r>
        <w:rPr>
          <w:rFonts w:ascii="Times New Roman" w:eastAsia="宋体" w:hAnsi="Times New Roman" w:hint="eastAsia"/>
          <w:color w:val="auto"/>
          <w:kern w:val="0"/>
        </w:rPr>
        <w:t>日，全国中小企业股份转让系统挂牌公司共计</w:t>
      </w:r>
      <w:r>
        <w:rPr>
          <w:rFonts w:ascii="Times New Roman" w:eastAsia="宋体" w:hAnsi="Times New Roman" w:hint="eastAsia"/>
          <w:color w:val="auto"/>
          <w:kern w:val="0"/>
        </w:rPr>
        <w:t>6,567</w:t>
      </w:r>
      <w:r>
        <w:rPr>
          <w:rFonts w:ascii="Times New Roman" w:eastAsia="宋体" w:hAnsi="Times New Roman" w:hint="eastAsia"/>
          <w:color w:val="auto"/>
          <w:kern w:val="0"/>
        </w:rPr>
        <w:t>家，其中，创新层</w:t>
      </w:r>
      <w:r>
        <w:rPr>
          <w:rFonts w:ascii="Times New Roman" w:eastAsia="宋体" w:hAnsi="Times New Roman" w:hint="eastAsia"/>
          <w:color w:val="auto"/>
          <w:kern w:val="0"/>
        </w:rPr>
        <w:t>1,636</w:t>
      </w:r>
      <w:r>
        <w:rPr>
          <w:rFonts w:ascii="Times New Roman" w:eastAsia="宋体" w:hAnsi="Times New Roman" w:hint="eastAsia"/>
          <w:color w:val="auto"/>
          <w:kern w:val="0"/>
        </w:rPr>
        <w:t>家（集合竞价</w:t>
      </w:r>
      <w:r>
        <w:rPr>
          <w:rFonts w:ascii="Times New Roman" w:eastAsia="宋体" w:hAnsi="Times New Roman" w:hint="eastAsia"/>
          <w:color w:val="auto"/>
          <w:kern w:val="0"/>
        </w:rPr>
        <w:t>1,426</w:t>
      </w:r>
      <w:r>
        <w:rPr>
          <w:rFonts w:ascii="Times New Roman" w:eastAsia="宋体" w:hAnsi="Times New Roman" w:hint="eastAsia"/>
          <w:color w:val="auto"/>
          <w:kern w:val="0"/>
        </w:rPr>
        <w:t>家，做市</w:t>
      </w:r>
      <w:r>
        <w:rPr>
          <w:rFonts w:ascii="Times New Roman" w:eastAsia="宋体" w:hAnsi="Times New Roman" w:hint="eastAsia"/>
          <w:color w:val="auto"/>
          <w:kern w:val="0"/>
        </w:rPr>
        <w:t>210</w:t>
      </w:r>
      <w:r>
        <w:rPr>
          <w:rFonts w:ascii="Times New Roman" w:eastAsia="宋体" w:hAnsi="Times New Roman" w:hint="eastAsia"/>
          <w:color w:val="auto"/>
          <w:kern w:val="0"/>
        </w:rPr>
        <w:t>家），基础层</w:t>
      </w:r>
      <w:r>
        <w:rPr>
          <w:rFonts w:ascii="Times New Roman" w:eastAsia="宋体" w:hAnsi="Times New Roman" w:hint="eastAsia"/>
          <w:color w:val="auto"/>
          <w:kern w:val="0"/>
        </w:rPr>
        <w:t>4,931</w:t>
      </w:r>
      <w:r>
        <w:rPr>
          <w:rFonts w:ascii="Times New Roman" w:eastAsia="宋体" w:hAnsi="Times New Roman" w:hint="eastAsia"/>
          <w:color w:val="auto"/>
          <w:kern w:val="0"/>
        </w:rPr>
        <w:t>家（集合竞价</w:t>
      </w:r>
      <w:r>
        <w:rPr>
          <w:rFonts w:ascii="Times New Roman" w:eastAsia="宋体" w:hAnsi="Times New Roman" w:hint="eastAsia"/>
          <w:color w:val="auto"/>
          <w:kern w:val="0"/>
        </w:rPr>
        <w:t>4,759</w:t>
      </w:r>
      <w:r>
        <w:rPr>
          <w:rFonts w:ascii="Times New Roman" w:eastAsia="宋体" w:hAnsi="Times New Roman" w:hint="eastAsia"/>
          <w:color w:val="auto"/>
          <w:kern w:val="0"/>
        </w:rPr>
        <w:t>家，做市</w:t>
      </w:r>
      <w:r>
        <w:rPr>
          <w:rFonts w:ascii="Times New Roman" w:eastAsia="宋体" w:hAnsi="Times New Roman" w:hint="eastAsia"/>
          <w:color w:val="auto"/>
          <w:kern w:val="0"/>
        </w:rPr>
        <w:t>172</w:t>
      </w:r>
      <w:r>
        <w:rPr>
          <w:rFonts w:ascii="Times New Roman" w:eastAsia="宋体" w:hAnsi="Times New Roman" w:hint="eastAsia"/>
          <w:color w:val="auto"/>
          <w:kern w:val="0"/>
        </w:rPr>
        <w:t>家）</w:t>
      </w:r>
      <w:r>
        <w:rPr>
          <w:rFonts w:ascii="Times New Roman" w:eastAsia="宋体" w:hAnsi="Times New Roman"/>
          <w:color w:val="auto"/>
          <w:kern w:val="0"/>
        </w:rPr>
        <w:t>。</w:t>
      </w:r>
    </w:p>
    <w:p w:rsidR="005B7551" w:rsidRDefault="00252D0C" w:rsidP="000334EE">
      <w:pPr>
        <w:numPr>
          <w:ilvl w:val="1"/>
          <w:numId w:val="1"/>
        </w:numPr>
        <w:tabs>
          <w:tab w:val="clear" w:pos="846"/>
          <w:tab w:val="left" w:pos="0"/>
          <w:tab w:val="left" w:pos="840"/>
        </w:tabs>
        <w:spacing w:afterLines="50" w:line="360" w:lineRule="auto"/>
        <w:ind w:left="0" w:firstLineChars="200" w:firstLine="480"/>
        <w:rPr>
          <w:rFonts w:ascii="Times New Roman" w:eastAsia="宋体" w:hAnsi="Times New Roman"/>
          <w:szCs w:val="24"/>
        </w:rPr>
      </w:pPr>
      <w:r>
        <w:rPr>
          <w:rFonts w:ascii="Times New Roman" w:eastAsia="宋体" w:hAnsi="Times New Roman"/>
          <w:szCs w:val="24"/>
        </w:rPr>
        <w:t>债券发行统计</w:t>
      </w:r>
    </w:p>
    <w:p w:rsidR="005B7551" w:rsidRDefault="00252D0C" w:rsidP="000334EE">
      <w:pPr>
        <w:tabs>
          <w:tab w:val="left" w:pos="0"/>
          <w:tab w:val="left" w:pos="840"/>
        </w:tabs>
        <w:snapToGrid w:val="0"/>
        <w:spacing w:afterLines="50" w:line="360" w:lineRule="auto"/>
        <w:ind w:firstLineChars="200" w:firstLine="480"/>
        <w:rPr>
          <w:rFonts w:ascii="Times New Roman" w:eastAsia="宋体" w:hAnsi="Times New Roman"/>
          <w:szCs w:val="24"/>
        </w:rPr>
      </w:pPr>
      <w:r>
        <w:rPr>
          <w:rFonts w:ascii="Times New Roman" w:eastAsia="宋体" w:hAnsi="Times New Roman"/>
          <w:szCs w:val="24"/>
          <w:lang/>
        </w:rPr>
        <w:t>因上期资本市场信息未披露</w:t>
      </w:r>
      <w:r>
        <w:rPr>
          <w:rFonts w:ascii="Times New Roman" w:eastAsia="宋体" w:hAnsi="Times New Roman"/>
          <w:szCs w:val="24"/>
          <w:lang/>
        </w:rPr>
        <w:t>202</w:t>
      </w:r>
      <w:r>
        <w:rPr>
          <w:rFonts w:ascii="Times New Roman" w:eastAsia="宋体" w:hAnsi="Times New Roman" w:hint="eastAsia"/>
          <w:szCs w:val="24"/>
        </w:rPr>
        <w:t>3</w:t>
      </w:r>
      <w:r>
        <w:rPr>
          <w:rFonts w:ascii="Times New Roman" w:eastAsia="宋体" w:hAnsi="Times New Roman"/>
          <w:szCs w:val="24"/>
          <w:lang/>
        </w:rPr>
        <w:t>年</w:t>
      </w:r>
      <w:r>
        <w:rPr>
          <w:rFonts w:ascii="Times New Roman" w:eastAsia="宋体" w:hAnsi="Times New Roman" w:hint="eastAsia"/>
          <w:szCs w:val="24"/>
        </w:rPr>
        <w:t>1</w:t>
      </w:r>
      <w:r>
        <w:rPr>
          <w:rFonts w:ascii="Times New Roman" w:eastAsia="宋体" w:hAnsi="Times New Roman"/>
          <w:szCs w:val="24"/>
          <w:lang/>
        </w:rPr>
        <w:t>月的债券发行统计信息</w:t>
      </w:r>
      <w:r>
        <w:rPr>
          <w:rFonts w:ascii="Times New Roman" w:eastAsia="宋体" w:hAnsi="Times New Roman"/>
          <w:szCs w:val="24"/>
          <w:lang/>
        </w:rPr>
        <w:t>，</w:t>
      </w:r>
      <w:r>
        <w:rPr>
          <w:rFonts w:ascii="Times New Roman" w:eastAsia="宋体" w:hAnsi="Times New Roman"/>
          <w:szCs w:val="24"/>
          <w:lang/>
        </w:rPr>
        <w:t>且中国债券信息网暂未公布</w:t>
      </w:r>
      <w:r>
        <w:rPr>
          <w:rFonts w:ascii="Times New Roman" w:eastAsia="宋体" w:hAnsi="Times New Roman"/>
          <w:szCs w:val="24"/>
          <w:lang/>
        </w:rPr>
        <w:t>202</w:t>
      </w:r>
      <w:r>
        <w:rPr>
          <w:rFonts w:ascii="Times New Roman" w:eastAsia="宋体" w:hAnsi="Times New Roman"/>
          <w:szCs w:val="24"/>
          <w:lang/>
        </w:rPr>
        <w:t>3</w:t>
      </w:r>
      <w:r>
        <w:rPr>
          <w:rFonts w:ascii="Times New Roman" w:eastAsia="宋体" w:hAnsi="Times New Roman"/>
          <w:szCs w:val="24"/>
          <w:lang/>
        </w:rPr>
        <w:t>年</w:t>
      </w:r>
      <w:r>
        <w:rPr>
          <w:rFonts w:ascii="Times New Roman" w:eastAsia="宋体" w:hAnsi="Times New Roman" w:hint="eastAsia"/>
          <w:szCs w:val="24"/>
        </w:rPr>
        <w:t>2</w:t>
      </w:r>
      <w:r>
        <w:rPr>
          <w:rFonts w:ascii="Times New Roman" w:eastAsia="宋体" w:hAnsi="Times New Roman"/>
          <w:szCs w:val="24"/>
          <w:lang/>
        </w:rPr>
        <w:t>月的债券发行统计信息</w:t>
      </w:r>
      <w:r>
        <w:rPr>
          <w:rFonts w:ascii="Times New Roman" w:eastAsia="宋体" w:hAnsi="Times New Roman"/>
          <w:szCs w:val="24"/>
          <w:lang/>
        </w:rPr>
        <w:t>，</w:t>
      </w:r>
      <w:r>
        <w:rPr>
          <w:rFonts w:ascii="Times New Roman" w:eastAsia="宋体" w:hAnsi="Times New Roman"/>
          <w:szCs w:val="24"/>
          <w:lang/>
        </w:rPr>
        <w:t>本期资本市场信息补充披露</w:t>
      </w:r>
      <w:r>
        <w:rPr>
          <w:rFonts w:ascii="Times New Roman" w:eastAsia="宋体" w:hAnsi="Times New Roman"/>
          <w:szCs w:val="24"/>
          <w:lang/>
        </w:rPr>
        <w:t>2022</w:t>
      </w:r>
      <w:r>
        <w:rPr>
          <w:rFonts w:ascii="Times New Roman" w:eastAsia="宋体" w:hAnsi="Times New Roman"/>
          <w:szCs w:val="24"/>
          <w:lang/>
        </w:rPr>
        <w:t>年</w:t>
      </w:r>
      <w:r>
        <w:rPr>
          <w:rFonts w:ascii="Times New Roman" w:eastAsia="宋体" w:hAnsi="Times New Roman" w:hint="eastAsia"/>
          <w:szCs w:val="24"/>
        </w:rPr>
        <w:t>1</w:t>
      </w:r>
      <w:r>
        <w:rPr>
          <w:rFonts w:ascii="Times New Roman" w:eastAsia="宋体" w:hAnsi="Times New Roman"/>
          <w:szCs w:val="24"/>
          <w:lang/>
        </w:rPr>
        <w:t>月债券发行统计数据如下</w:t>
      </w:r>
      <w:r>
        <w:rPr>
          <w:rFonts w:ascii="Times New Roman" w:eastAsia="宋体" w:hAnsi="Times New Roman"/>
          <w:szCs w:val="24"/>
          <w:lang/>
        </w:rPr>
        <w:t>：</w:t>
      </w:r>
    </w:p>
    <w:p w:rsidR="005B7551" w:rsidRDefault="00252D0C">
      <w:pPr>
        <w:tabs>
          <w:tab w:val="left" w:pos="0"/>
          <w:tab w:val="left" w:pos="840"/>
        </w:tabs>
        <w:ind w:firstLineChars="200" w:firstLine="480"/>
        <w:jc w:val="right"/>
        <w:rPr>
          <w:rFonts w:ascii="Times New Roman" w:hAnsi="Times New Roman"/>
        </w:rPr>
      </w:pPr>
      <w:r>
        <w:rPr>
          <w:rFonts w:ascii="Times New Roman" w:eastAsia="宋体" w:hAnsi="Times New Roman"/>
          <w:szCs w:val="24"/>
          <w:lang/>
        </w:rPr>
        <w:t xml:space="preserve"> </w:t>
      </w:r>
      <w:r>
        <w:rPr>
          <w:rFonts w:ascii="Times New Roman" w:eastAsia="宋体" w:hAnsi="Times New Roman"/>
          <w:szCs w:val="24"/>
          <w:lang/>
        </w:rPr>
        <w:t>单位：亿元</w:t>
      </w:r>
    </w:p>
    <w:tbl>
      <w:tblPr>
        <w:tblW w:w="0" w:type="auto"/>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84"/>
        <w:gridCol w:w="3118"/>
        <w:gridCol w:w="3260"/>
      </w:tblGrid>
      <w:tr w:rsidR="005B7551">
        <w:trPr>
          <w:trHeight w:val="340"/>
          <w:tblHeader/>
        </w:trPr>
        <w:tc>
          <w:tcPr>
            <w:tcW w:w="2684" w:type="dxa"/>
            <w:shd w:val="clear" w:color="000000" w:fill="C0C0C0"/>
            <w:vAlign w:val="center"/>
          </w:tcPr>
          <w:p w:rsidR="005B7551" w:rsidRDefault="005B7551">
            <w:pPr>
              <w:rPr>
                <w:rFonts w:ascii="宋体" w:eastAsia="宋体" w:cs="宋体"/>
                <w:b/>
                <w:bCs/>
              </w:rPr>
            </w:pPr>
          </w:p>
        </w:tc>
        <w:tc>
          <w:tcPr>
            <w:tcW w:w="3118" w:type="dxa"/>
            <w:shd w:val="clear" w:color="000000" w:fill="C0C0C0"/>
            <w:vAlign w:val="center"/>
          </w:tcPr>
          <w:p w:rsidR="005B7551" w:rsidRDefault="00252D0C">
            <w:pPr>
              <w:shd w:val="solid" w:color="C0C0C0" w:fill="auto"/>
              <w:autoSpaceDN w:val="0"/>
              <w:jc w:val="center"/>
              <w:textAlignment w:val="center"/>
              <w:rPr>
                <w:rFonts w:ascii="Times New Roman Regular" w:eastAsia="宋体" w:hAnsi="Times New Roman Regular" w:cs="Times New Roman Regular" w:hint="eastAsia"/>
                <w:b/>
                <w:bCs/>
                <w:shd w:val="clear" w:color="auto" w:fill="C0C0C0"/>
              </w:rPr>
            </w:pPr>
            <w:r>
              <w:rPr>
                <w:rFonts w:ascii="Times New Roman Regular" w:eastAsia="宋体" w:hAnsi="Times New Roman Regular" w:cs="Times New Roman Regular"/>
                <w:b/>
                <w:bCs/>
                <w:shd w:val="clear" w:color="auto" w:fill="C0C0C0"/>
              </w:rPr>
              <w:t>本月（</w:t>
            </w:r>
            <w:r>
              <w:rPr>
                <w:rFonts w:ascii="Times New Roman Regular" w:eastAsia="宋体" w:hAnsi="Times New Roman Regular" w:cs="Times New Roman Regular"/>
                <w:b/>
                <w:bCs/>
                <w:shd w:val="clear" w:color="auto" w:fill="C0C0C0"/>
              </w:rPr>
              <w:t>202</w:t>
            </w:r>
            <w:r>
              <w:rPr>
                <w:rFonts w:ascii="Times New Roman Regular" w:eastAsia="宋体" w:hAnsi="Times New Roman Regular" w:cs="Times New Roman Regular" w:hint="eastAsia"/>
                <w:b/>
                <w:bCs/>
                <w:shd w:val="clear" w:color="auto" w:fill="C0C0C0"/>
              </w:rPr>
              <w:t>3</w:t>
            </w:r>
            <w:r>
              <w:rPr>
                <w:rFonts w:ascii="Times New Roman Regular" w:eastAsia="宋体" w:hAnsi="Times New Roman Regular" w:cs="Times New Roman Regular"/>
                <w:b/>
                <w:bCs/>
                <w:shd w:val="clear" w:color="auto" w:fill="C0C0C0"/>
              </w:rPr>
              <w:t>年</w:t>
            </w:r>
            <w:r>
              <w:rPr>
                <w:rFonts w:ascii="Times New Roman Regular" w:eastAsia="宋体" w:hAnsi="Times New Roman Regular" w:cs="Times New Roman Regular"/>
                <w:b/>
                <w:bCs/>
                <w:shd w:val="clear" w:color="auto" w:fill="C0C0C0"/>
              </w:rPr>
              <w:t>1</w:t>
            </w:r>
            <w:r>
              <w:rPr>
                <w:rFonts w:ascii="Times New Roman Regular" w:eastAsia="宋体" w:hAnsi="Times New Roman Regular" w:cs="Times New Roman Regular"/>
                <w:b/>
                <w:bCs/>
                <w:shd w:val="clear" w:color="auto" w:fill="C0C0C0"/>
              </w:rPr>
              <w:t>月）</w:t>
            </w:r>
          </w:p>
        </w:tc>
        <w:tc>
          <w:tcPr>
            <w:tcW w:w="3260" w:type="dxa"/>
            <w:shd w:val="clear" w:color="000000" w:fill="C0C0C0"/>
            <w:vAlign w:val="center"/>
          </w:tcPr>
          <w:p w:rsidR="005B7551" w:rsidRDefault="00252D0C">
            <w:pPr>
              <w:shd w:val="solid" w:color="C0C0C0" w:fill="auto"/>
              <w:autoSpaceDN w:val="0"/>
              <w:jc w:val="center"/>
              <w:textAlignment w:val="center"/>
              <w:rPr>
                <w:rFonts w:ascii="Times New Roman Regular" w:eastAsia="宋体" w:hAnsi="Times New Roman Regular" w:cs="Times New Roman Regular" w:hint="eastAsia"/>
                <w:b/>
                <w:bCs/>
                <w:shd w:val="clear" w:color="auto" w:fill="C0C0C0"/>
              </w:rPr>
            </w:pPr>
            <w:r>
              <w:rPr>
                <w:rFonts w:ascii="Times New Roman Regular" w:eastAsia="宋体" w:hAnsi="Times New Roman Regular" w:cs="Times New Roman Regular"/>
                <w:b/>
                <w:bCs/>
                <w:shd w:val="clear" w:color="auto" w:fill="C0C0C0"/>
              </w:rPr>
              <w:t>本年累计</w:t>
            </w:r>
          </w:p>
        </w:tc>
      </w:tr>
      <w:tr w:rsidR="005B7551">
        <w:trPr>
          <w:trHeight w:val="340"/>
        </w:trPr>
        <w:tc>
          <w:tcPr>
            <w:tcW w:w="2684" w:type="dxa"/>
            <w:shd w:val="clear" w:color="000000" w:fill="C0C0C0"/>
            <w:vAlign w:val="center"/>
          </w:tcPr>
          <w:p w:rsidR="005B7551" w:rsidRDefault="00252D0C">
            <w:pPr>
              <w:shd w:val="solid" w:color="C0C0C0" w:fill="auto"/>
              <w:autoSpaceDN w:val="0"/>
              <w:textAlignment w:val="center"/>
              <w:rPr>
                <w:rFonts w:ascii="宋体" w:eastAsia="宋体" w:cs="宋体"/>
                <w:b/>
                <w:shd w:val="clear" w:color="auto" w:fill="C0C0C0"/>
                <w:lang/>
              </w:rPr>
            </w:pPr>
            <w:r>
              <w:rPr>
                <w:rFonts w:ascii="宋体" w:eastAsia="宋体" w:cs="宋体" w:hint="eastAsia"/>
                <w:b/>
                <w:shd w:val="clear" w:color="auto" w:fill="C0C0C0"/>
              </w:rPr>
              <w:t>国债</w:t>
            </w:r>
          </w:p>
        </w:tc>
        <w:tc>
          <w:tcPr>
            <w:tcW w:w="3118"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6</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430</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0</w:t>
            </w:r>
            <w:r>
              <w:rPr>
                <w:rFonts w:ascii="Times New Roman Regular" w:eastAsia="微软雅黑" w:hAnsi="Times New Roman Regular" w:cs="Times New Roman Regular"/>
                <w:kern w:val="0"/>
                <w:szCs w:val="24"/>
                <w:lang/>
              </w:rPr>
              <w:t>0</w:t>
            </w:r>
          </w:p>
        </w:tc>
        <w:tc>
          <w:tcPr>
            <w:tcW w:w="3260"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6</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430</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0</w:t>
            </w:r>
            <w:r>
              <w:rPr>
                <w:rFonts w:ascii="Times New Roman Regular" w:eastAsia="微软雅黑" w:hAnsi="Times New Roman Regular" w:cs="Times New Roman Regular"/>
                <w:kern w:val="0"/>
                <w:szCs w:val="24"/>
                <w:lang/>
              </w:rPr>
              <w:t>0</w:t>
            </w:r>
          </w:p>
        </w:tc>
      </w:tr>
      <w:tr w:rsidR="005B7551">
        <w:trPr>
          <w:trHeight w:val="340"/>
        </w:trPr>
        <w:tc>
          <w:tcPr>
            <w:tcW w:w="2684" w:type="dxa"/>
            <w:shd w:val="clear" w:color="000000" w:fill="C0C0C0"/>
            <w:vAlign w:val="center"/>
          </w:tcPr>
          <w:p w:rsidR="005B7551" w:rsidRDefault="00252D0C">
            <w:pPr>
              <w:shd w:val="solid" w:color="C0C0C0" w:fill="auto"/>
              <w:autoSpaceDN w:val="0"/>
              <w:textAlignment w:val="center"/>
              <w:rPr>
                <w:rFonts w:ascii="宋体" w:eastAsia="宋体" w:cs="宋体"/>
                <w:b/>
                <w:shd w:val="clear" w:color="auto" w:fill="C0C0C0"/>
                <w:lang/>
              </w:rPr>
            </w:pPr>
            <w:r>
              <w:rPr>
                <w:rFonts w:ascii="宋体" w:eastAsia="宋体" w:cs="宋体" w:hint="eastAsia"/>
                <w:b/>
                <w:shd w:val="clear" w:color="auto" w:fill="C0C0C0"/>
              </w:rPr>
              <w:t>地方政府债</w:t>
            </w:r>
          </w:p>
        </w:tc>
        <w:tc>
          <w:tcPr>
            <w:tcW w:w="3118"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6</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43</w:t>
            </w:r>
            <w:r>
              <w:rPr>
                <w:rFonts w:ascii="Times New Roman Regular" w:eastAsia="微软雅黑" w:hAnsi="Times New Roman Regular" w:cs="Times New Roman Regular"/>
                <w:kern w:val="0"/>
                <w:szCs w:val="24"/>
                <w:lang/>
              </w:rPr>
              <w:t>4.</w:t>
            </w:r>
            <w:r>
              <w:rPr>
                <w:rFonts w:ascii="Times New Roman Regular" w:eastAsia="微软雅黑" w:hAnsi="Times New Roman Regular" w:cs="Times New Roman Regular" w:hint="eastAsia"/>
                <w:kern w:val="0"/>
                <w:szCs w:val="24"/>
                <w:lang/>
              </w:rPr>
              <w:t>93</w:t>
            </w:r>
          </w:p>
        </w:tc>
        <w:tc>
          <w:tcPr>
            <w:tcW w:w="3260"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6</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43</w:t>
            </w:r>
            <w:r>
              <w:rPr>
                <w:rFonts w:ascii="Times New Roman Regular" w:eastAsia="微软雅黑" w:hAnsi="Times New Roman Regular" w:cs="Times New Roman Regular"/>
                <w:kern w:val="0"/>
                <w:szCs w:val="24"/>
                <w:lang/>
              </w:rPr>
              <w:t>4.</w:t>
            </w:r>
            <w:r>
              <w:rPr>
                <w:rFonts w:ascii="Times New Roman Regular" w:eastAsia="微软雅黑" w:hAnsi="Times New Roman Regular" w:cs="Times New Roman Regular" w:hint="eastAsia"/>
                <w:kern w:val="0"/>
                <w:szCs w:val="24"/>
                <w:lang/>
              </w:rPr>
              <w:t>93</w:t>
            </w:r>
          </w:p>
        </w:tc>
      </w:tr>
      <w:tr w:rsidR="005B7551">
        <w:trPr>
          <w:trHeight w:val="340"/>
        </w:trPr>
        <w:tc>
          <w:tcPr>
            <w:tcW w:w="2684" w:type="dxa"/>
            <w:shd w:val="clear" w:color="000000" w:fill="C0C0C0"/>
            <w:vAlign w:val="center"/>
          </w:tcPr>
          <w:p w:rsidR="005B7551" w:rsidRDefault="00252D0C">
            <w:pPr>
              <w:shd w:val="solid" w:color="C0C0C0" w:fill="auto"/>
              <w:autoSpaceDN w:val="0"/>
              <w:textAlignment w:val="center"/>
              <w:rPr>
                <w:rFonts w:ascii="宋体" w:eastAsia="宋体" w:cs="宋体"/>
                <w:b/>
                <w:shd w:val="clear" w:color="auto" w:fill="C0C0C0"/>
                <w:lang/>
              </w:rPr>
            </w:pPr>
            <w:r>
              <w:rPr>
                <w:rFonts w:ascii="宋体" w:eastAsia="宋体" w:cs="宋体" w:hint="eastAsia"/>
                <w:b/>
                <w:shd w:val="clear" w:color="auto" w:fill="C0C0C0"/>
              </w:rPr>
              <w:t>央行票据</w:t>
            </w:r>
          </w:p>
        </w:tc>
        <w:tc>
          <w:tcPr>
            <w:tcW w:w="3118"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kern w:val="0"/>
                <w:szCs w:val="24"/>
                <w:lang/>
              </w:rPr>
              <w:t>0.00</w:t>
            </w:r>
          </w:p>
        </w:tc>
        <w:tc>
          <w:tcPr>
            <w:tcW w:w="3260"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kern w:val="0"/>
                <w:szCs w:val="24"/>
                <w:lang/>
              </w:rPr>
              <w:t>0.00</w:t>
            </w:r>
          </w:p>
        </w:tc>
      </w:tr>
      <w:tr w:rsidR="005B7551">
        <w:trPr>
          <w:trHeight w:val="340"/>
        </w:trPr>
        <w:tc>
          <w:tcPr>
            <w:tcW w:w="2684" w:type="dxa"/>
            <w:shd w:val="clear" w:color="000000" w:fill="C0C0C0"/>
            <w:vAlign w:val="center"/>
          </w:tcPr>
          <w:p w:rsidR="005B7551" w:rsidRDefault="00252D0C">
            <w:pPr>
              <w:shd w:val="solid" w:color="C0C0C0" w:fill="auto"/>
              <w:autoSpaceDN w:val="0"/>
              <w:textAlignment w:val="center"/>
              <w:rPr>
                <w:rFonts w:ascii="宋体" w:eastAsia="宋体" w:cs="宋体"/>
                <w:b/>
                <w:shd w:val="clear" w:color="auto" w:fill="C0C0C0"/>
                <w:lang/>
              </w:rPr>
            </w:pPr>
            <w:r>
              <w:rPr>
                <w:rFonts w:ascii="宋体" w:eastAsia="宋体" w:cs="宋体" w:hint="eastAsia"/>
                <w:b/>
                <w:shd w:val="clear" w:color="auto" w:fill="C0C0C0"/>
              </w:rPr>
              <w:t>政策性银行债</w:t>
            </w:r>
          </w:p>
        </w:tc>
        <w:tc>
          <w:tcPr>
            <w:tcW w:w="3118"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4</w:t>
            </w:r>
            <w:r>
              <w:rPr>
                <w:rFonts w:ascii="Times New Roman Regular" w:eastAsia="微软雅黑" w:hAnsi="Times New Roman Regular" w:cs="Times New Roman Regular"/>
                <w:kern w:val="0"/>
                <w:szCs w:val="24"/>
                <w:lang/>
              </w:rPr>
              <w:t>,0</w:t>
            </w:r>
            <w:r>
              <w:rPr>
                <w:rFonts w:ascii="Times New Roman Regular" w:eastAsia="微软雅黑" w:hAnsi="Times New Roman Regular" w:cs="Times New Roman Regular" w:hint="eastAsia"/>
                <w:kern w:val="0"/>
                <w:szCs w:val="24"/>
                <w:lang/>
              </w:rPr>
              <w:t>81</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6</w:t>
            </w:r>
            <w:r>
              <w:rPr>
                <w:rFonts w:ascii="Times New Roman Regular" w:eastAsia="微软雅黑" w:hAnsi="Times New Roman Regular" w:cs="Times New Roman Regular"/>
                <w:kern w:val="0"/>
                <w:szCs w:val="24"/>
                <w:lang/>
              </w:rPr>
              <w:t>0</w:t>
            </w:r>
          </w:p>
        </w:tc>
        <w:tc>
          <w:tcPr>
            <w:tcW w:w="3260"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4</w:t>
            </w:r>
            <w:r>
              <w:rPr>
                <w:rFonts w:ascii="Times New Roman Regular" w:eastAsia="微软雅黑" w:hAnsi="Times New Roman Regular" w:cs="Times New Roman Regular"/>
                <w:kern w:val="0"/>
                <w:szCs w:val="24"/>
                <w:lang/>
              </w:rPr>
              <w:t>,0</w:t>
            </w:r>
            <w:r>
              <w:rPr>
                <w:rFonts w:ascii="Times New Roman Regular" w:eastAsia="微软雅黑" w:hAnsi="Times New Roman Regular" w:cs="Times New Roman Regular" w:hint="eastAsia"/>
                <w:kern w:val="0"/>
                <w:szCs w:val="24"/>
                <w:lang/>
              </w:rPr>
              <w:t>81</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6</w:t>
            </w:r>
            <w:r>
              <w:rPr>
                <w:rFonts w:ascii="Times New Roman Regular" w:eastAsia="微软雅黑" w:hAnsi="Times New Roman Regular" w:cs="Times New Roman Regular"/>
                <w:kern w:val="0"/>
                <w:szCs w:val="24"/>
                <w:lang/>
              </w:rPr>
              <w:t>0</w:t>
            </w:r>
          </w:p>
        </w:tc>
      </w:tr>
      <w:tr w:rsidR="005B7551">
        <w:trPr>
          <w:trHeight w:val="340"/>
        </w:trPr>
        <w:tc>
          <w:tcPr>
            <w:tcW w:w="2684" w:type="dxa"/>
            <w:shd w:val="clear" w:color="000000" w:fill="C0C0C0"/>
            <w:vAlign w:val="center"/>
          </w:tcPr>
          <w:p w:rsidR="005B7551" w:rsidRDefault="00252D0C">
            <w:pPr>
              <w:shd w:val="solid" w:color="C0C0C0" w:fill="auto"/>
              <w:autoSpaceDN w:val="0"/>
              <w:textAlignment w:val="center"/>
              <w:rPr>
                <w:rFonts w:ascii="宋体" w:eastAsia="宋体" w:cs="宋体"/>
                <w:b/>
                <w:shd w:val="clear" w:color="auto" w:fill="C0C0C0"/>
                <w:lang/>
              </w:rPr>
            </w:pPr>
            <w:r>
              <w:rPr>
                <w:rFonts w:ascii="宋体" w:eastAsia="宋体" w:cs="宋体" w:hint="eastAsia"/>
                <w:b/>
                <w:shd w:val="clear" w:color="auto" w:fill="C0C0C0"/>
              </w:rPr>
              <w:t>政府支持机构债</w:t>
            </w:r>
          </w:p>
        </w:tc>
        <w:tc>
          <w:tcPr>
            <w:tcW w:w="3118"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2</w:t>
            </w:r>
            <w:r>
              <w:rPr>
                <w:rFonts w:ascii="Times New Roman Regular" w:eastAsia="微软雅黑" w:hAnsi="Times New Roman Regular" w:cs="Times New Roman Regular"/>
                <w:kern w:val="0"/>
                <w:szCs w:val="24"/>
                <w:lang/>
              </w:rPr>
              <w:t>00.00</w:t>
            </w:r>
          </w:p>
        </w:tc>
        <w:tc>
          <w:tcPr>
            <w:tcW w:w="3260"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2</w:t>
            </w:r>
            <w:r>
              <w:rPr>
                <w:rFonts w:ascii="Times New Roman Regular" w:eastAsia="微软雅黑" w:hAnsi="Times New Roman Regular" w:cs="Times New Roman Regular"/>
                <w:kern w:val="0"/>
                <w:szCs w:val="24"/>
                <w:lang/>
              </w:rPr>
              <w:t>00.00</w:t>
            </w:r>
          </w:p>
        </w:tc>
      </w:tr>
      <w:tr w:rsidR="005B7551">
        <w:trPr>
          <w:trHeight w:val="340"/>
        </w:trPr>
        <w:tc>
          <w:tcPr>
            <w:tcW w:w="2684" w:type="dxa"/>
            <w:shd w:val="clear" w:color="000000" w:fill="C0C0C0"/>
            <w:vAlign w:val="center"/>
          </w:tcPr>
          <w:p w:rsidR="005B7551" w:rsidRDefault="00252D0C">
            <w:pPr>
              <w:shd w:val="solid" w:color="C0C0C0" w:fill="auto"/>
              <w:autoSpaceDN w:val="0"/>
              <w:textAlignment w:val="center"/>
              <w:rPr>
                <w:rFonts w:ascii="宋体" w:eastAsia="宋体" w:cs="宋体"/>
                <w:b/>
                <w:shd w:val="clear" w:color="auto" w:fill="C0C0C0"/>
                <w:lang/>
              </w:rPr>
            </w:pPr>
            <w:r>
              <w:rPr>
                <w:rFonts w:ascii="宋体" w:eastAsia="宋体" w:cs="宋体" w:hint="eastAsia"/>
                <w:b/>
                <w:shd w:val="clear" w:color="auto" w:fill="C0C0C0"/>
              </w:rPr>
              <w:t>商业银行债券</w:t>
            </w:r>
          </w:p>
        </w:tc>
        <w:tc>
          <w:tcPr>
            <w:tcW w:w="3118"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0</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0</w:t>
            </w:r>
            <w:r>
              <w:rPr>
                <w:rFonts w:ascii="Times New Roman Regular" w:eastAsia="微软雅黑" w:hAnsi="Times New Roman Regular" w:cs="Times New Roman Regular"/>
                <w:kern w:val="0"/>
                <w:szCs w:val="24"/>
                <w:lang/>
              </w:rPr>
              <w:t>0</w:t>
            </w:r>
          </w:p>
        </w:tc>
        <w:tc>
          <w:tcPr>
            <w:tcW w:w="3260"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0</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0</w:t>
            </w:r>
            <w:r>
              <w:rPr>
                <w:rFonts w:ascii="Times New Roman Regular" w:eastAsia="微软雅黑" w:hAnsi="Times New Roman Regular" w:cs="Times New Roman Regular"/>
                <w:kern w:val="0"/>
                <w:szCs w:val="24"/>
                <w:lang/>
              </w:rPr>
              <w:t>0</w:t>
            </w:r>
          </w:p>
        </w:tc>
      </w:tr>
      <w:tr w:rsidR="005B7551">
        <w:trPr>
          <w:trHeight w:val="340"/>
        </w:trPr>
        <w:tc>
          <w:tcPr>
            <w:tcW w:w="2684" w:type="dxa"/>
            <w:shd w:val="clear" w:color="000000" w:fill="C0C0C0"/>
            <w:vAlign w:val="center"/>
          </w:tcPr>
          <w:p w:rsidR="005B7551" w:rsidRDefault="00252D0C">
            <w:pPr>
              <w:shd w:val="solid" w:color="C0C0C0" w:fill="auto"/>
              <w:autoSpaceDN w:val="0"/>
              <w:textAlignment w:val="center"/>
              <w:rPr>
                <w:rFonts w:ascii="宋体" w:eastAsia="宋体" w:cs="宋体"/>
                <w:b/>
                <w:shd w:val="clear" w:color="auto" w:fill="C0C0C0"/>
                <w:lang/>
              </w:rPr>
            </w:pPr>
            <w:r>
              <w:rPr>
                <w:rFonts w:ascii="宋体" w:eastAsia="宋体" w:cs="宋体" w:hint="eastAsia"/>
                <w:b/>
                <w:shd w:val="clear" w:color="auto" w:fill="C0C0C0"/>
              </w:rPr>
              <w:t>非银行金融机构债券</w:t>
            </w:r>
          </w:p>
        </w:tc>
        <w:tc>
          <w:tcPr>
            <w:tcW w:w="3118"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kern w:val="0"/>
                <w:szCs w:val="24"/>
                <w:lang/>
              </w:rPr>
              <w:t>0.00</w:t>
            </w:r>
          </w:p>
        </w:tc>
        <w:tc>
          <w:tcPr>
            <w:tcW w:w="3260"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kern w:val="0"/>
                <w:szCs w:val="24"/>
                <w:lang/>
              </w:rPr>
              <w:t>0.00</w:t>
            </w:r>
          </w:p>
        </w:tc>
      </w:tr>
      <w:tr w:rsidR="005B7551">
        <w:trPr>
          <w:trHeight w:val="340"/>
        </w:trPr>
        <w:tc>
          <w:tcPr>
            <w:tcW w:w="2684" w:type="dxa"/>
            <w:shd w:val="clear" w:color="000000" w:fill="C0C0C0"/>
            <w:vAlign w:val="center"/>
          </w:tcPr>
          <w:p w:rsidR="005B7551" w:rsidRDefault="00252D0C">
            <w:pPr>
              <w:shd w:val="solid" w:color="C0C0C0" w:fill="auto"/>
              <w:autoSpaceDN w:val="0"/>
              <w:textAlignment w:val="center"/>
              <w:rPr>
                <w:rFonts w:ascii="宋体" w:eastAsia="宋体" w:cs="宋体"/>
                <w:b/>
                <w:shd w:val="clear" w:color="auto" w:fill="C0C0C0"/>
                <w:lang/>
              </w:rPr>
            </w:pPr>
            <w:r>
              <w:rPr>
                <w:rFonts w:ascii="宋体" w:eastAsia="宋体" w:cs="宋体" w:hint="eastAsia"/>
                <w:b/>
                <w:shd w:val="clear" w:color="auto" w:fill="C0C0C0"/>
              </w:rPr>
              <w:t>企业债券</w:t>
            </w:r>
          </w:p>
        </w:tc>
        <w:tc>
          <w:tcPr>
            <w:tcW w:w="3118"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kern w:val="0"/>
                <w:szCs w:val="24"/>
                <w:lang/>
              </w:rPr>
              <w:t>1</w:t>
            </w:r>
            <w:r>
              <w:rPr>
                <w:rFonts w:ascii="Times New Roman Regular" w:eastAsia="微软雅黑" w:hAnsi="Times New Roman Regular" w:cs="Times New Roman Regular" w:hint="eastAsia"/>
                <w:kern w:val="0"/>
                <w:szCs w:val="24"/>
                <w:lang/>
              </w:rPr>
              <w:t>65</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6</w:t>
            </w:r>
            <w:r>
              <w:rPr>
                <w:rFonts w:ascii="Times New Roman Regular" w:eastAsia="微软雅黑" w:hAnsi="Times New Roman Regular" w:cs="Times New Roman Regular"/>
                <w:kern w:val="0"/>
                <w:szCs w:val="24"/>
                <w:lang/>
              </w:rPr>
              <w:t>0</w:t>
            </w:r>
          </w:p>
        </w:tc>
        <w:tc>
          <w:tcPr>
            <w:tcW w:w="3260"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kern w:val="0"/>
                <w:szCs w:val="24"/>
                <w:lang/>
              </w:rPr>
              <w:t>1</w:t>
            </w:r>
            <w:r>
              <w:rPr>
                <w:rFonts w:ascii="Times New Roman Regular" w:eastAsia="微软雅黑" w:hAnsi="Times New Roman Regular" w:cs="Times New Roman Regular" w:hint="eastAsia"/>
                <w:kern w:val="0"/>
                <w:szCs w:val="24"/>
                <w:lang/>
              </w:rPr>
              <w:t>65</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6</w:t>
            </w:r>
            <w:r>
              <w:rPr>
                <w:rFonts w:ascii="Times New Roman Regular" w:eastAsia="微软雅黑" w:hAnsi="Times New Roman Regular" w:cs="Times New Roman Regular"/>
                <w:kern w:val="0"/>
                <w:szCs w:val="24"/>
                <w:lang/>
              </w:rPr>
              <w:t>0</w:t>
            </w:r>
          </w:p>
        </w:tc>
      </w:tr>
      <w:tr w:rsidR="005B7551">
        <w:trPr>
          <w:trHeight w:val="340"/>
        </w:trPr>
        <w:tc>
          <w:tcPr>
            <w:tcW w:w="2684" w:type="dxa"/>
            <w:shd w:val="clear" w:color="000000" w:fill="C0C0C0"/>
            <w:vAlign w:val="center"/>
          </w:tcPr>
          <w:p w:rsidR="005B7551" w:rsidRDefault="00252D0C">
            <w:pPr>
              <w:shd w:val="solid" w:color="C0C0C0" w:fill="auto"/>
              <w:autoSpaceDN w:val="0"/>
              <w:textAlignment w:val="center"/>
              <w:rPr>
                <w:rFonts w:ascii="宋体" w:eastAsia="宋体" w:cs="宋体"/>
                <w:b/>
                <w:shd w:val="clear" w:color="auto" w:fill="C0C0C0"/>
                <w:lang/>
              </w:rPr>
            </w:pPr>
            <w:r>
              <w:rPr>
                <w:rFonts w:ascii="宋体" w:eastAsia="宋体" w:cs="宋体" w:hint="eastAsia"/>
                <w:b/>
                <w:shd w:val="clear" w:color="auto" w:fill="C0C0C0"/>
              </w:rPr>
              <w:t>信贷资产支持证券</w:t>
            </w:r>
          </w:p>
        </w:tc>
        <w:tc>
          <w:tcPr>
            <w:tcW w:w="3118"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162</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41</w:t>
            </w:r>
          </w:p>
        </w:tc>
        <w:tc>
          <w:tcPr>
            <w:tcW w:w="3260"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162</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41</w:t>
            </w:r>
          </w:p>
        </w:tc>
      </w:tr>
      <w:tr w:rsidR="005B7551">
        <w:trPr>
          <w:trHeight w:val="340"/>
        </w:trPr>
        <w:tc>
          <w:tcPr>
            <w:tcW w:w="2684" w:type="dxa"/>
            <w:shd w:val="clear" w:color="000000" w:fill="C0C0C0"/>
            <w:vAlign w:val="center"/>
          </w:tcPr>
          <w:p w:rsidR="005B7551" w:rsidRDefault="00252D0C">
            <w:pPr>
              <w:shd w:val="solid" w:color="C0C0C0" w:fill="auto"/>
              <w:autoSpaceDN w:val="0"/>
              <w:textAlignment w:val="center"/>
              <w:rPr>
                <w:rFonts w:ascii="宋体" w:eastAsia="宋体" w:cs="宋体"/>
                <w:b/>
                <w:shd w:val="clear" w:color="auto" w:fill="C0C0C0"/>
                <w:lang/>
              </w:rPr>
            </w:pPr>
            <w:r>
              <w:rPr>
                <w:rFonts w:ascii="宋体" w:eastAsia="宋体" w:cs="宋体" w:hint="eastAsia"/>
                <w:b/>
                <w:shd w:val="clear" w:color="auto" w:fill="C0C0C0"/>
              </w:rPr>
              <w:t>其他债券</w:t>
            </w:r>
          </w:p>
        </w:tc>
        <w:tc>
          <w:tcPr>
            <w:tcW w:w="3118"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kern w:val="0"/>
                <w:szCs w:val="24"/>
                <w:lang/>
              </w:rPr>
              <w:t>0.00</w:t>
            </w:r>
          </w:p>
        </w:tc>
        <w:tc>
          <w:tcPr>
            <w:tcW w:w="3260"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kern w:val="0"/>
                <w:szCs w:val="24"/>
                <w:lang/>
              </w:rPr>
              <w:t>0.00</w:t>
            </w:r>
          </w:p>
        </w:tc>
      </w:tr>
      <w:tr w:rsidR="005B7551">
        <w:trPr>
          <w:trHeight w:val="340"/>
        </w:trPr>
        <w:tc>
          <w:tcPr>
            <w:tcW w:w="2684" w:type="dxa"/>
            <w:shd w:val="clear" w:color="000000" w:fill="C0C0C0"/>
            <w:vAlign w:val="center"/>
          </w:tcPr>
          <w:p w:rsidR="005B7551" w:rsidRDefault="00252D0C">
            <w:pPr>
              <w:shd w:val="solid" w:color="C0C0C0" w:fill="auto"/>
              <w:autoSpaceDN w:val="0"/>
              <w:textAlignment w:val="center"/>
              <w:rPr>
                <w:rFonts w:ascii="宋体" w:eastAsia="宋体" w:cs="宋体"/>
                <w:b/>
                <w:shd w:val="clear" w:color="auto" w:fill="C0C0C0"/>
              </w:rPr>
            </w:pPr>
            <w:r>
              <w:rPr>
                <w:rFonts w:ascii="宋体" w:eastAsia="宋体" w:cs="宋体" w:hint="eastAsia"/>
                <w:b/>
                <w:shd w:val="clear" w:color="auto" w:fill="C0C0C0"/>
              </w:rPr>
              <w:t>合计</w:t>
            </w:r>
          </w:p>
        </w:tc>
        <w:tc>
          <w:tcPr>
            <w:tcW w:w="3118"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17</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474</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54</w:t>
            </w:r>
          </w:p>
        </w:tc>
        <w:tc>
          <w:tcPr>
            <w:tcW w:w="3260" w:type="dxa"/>
            <w:vAlign w:val="center"/>
          </w:tcPr>
          <w:p w:rsidR="005B7551" w:rsidRDefault="00252D0C">
            <w:pPr>
              <w:widowControl/>
              <w:jc w:val="right"/>
              <w:textAlignment w:val="center"/>
              <w:rPr>
                <w:rFonts w:ascii="Times New Roman Regular" w:eastAsia="宋体" w:hAnsi="Times New Roman Regular" w:cs="Times New Roman Regular" w:hint="eastAsia"/>
                <w:kern w:val="0"/>
                <w:szCs w:val="24"/>
                <w:lang/>
              </w:rPr>
            </w:pPr>
            <w:r>
              <w:rPr>
                <w:rFonts w:ascii="Times New Roman Regular" w:eastAsia="微软雅黑" w:hAnsi="Times New Roman Regular" w:cs="Times New Roman Regular" w:hint="eastAsia"/>
                <w:kern w:val="0"/>
                <w:szCs w:val="24"/>
                <w:lang/>
              </w:rPr>
              <w:t>17</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474</w:t>
            </w:r>
            <w:r>
              <w:rPr>
                <w:rFonts w:ascii="Times New Roman Regular" w:eastAsia="微软雅黑" w:hAnsi="Times New Roman Regular" w:cs="Times New Roman Regular"/>
                <w:kern w:val="0"/>
                <w:szCs w:val="24"/>
                <w:lang/>
              </w:rPr>
              <w:t>.</w:t>
            </w:r>
            <w:r>
              <w:rPr>
                <w:rFonts w:ascii="Times New Roman Regular" w:eastAsia="微软雅黑" w:hAnsi="Times New Roman Regular" w:cs="Times New Roman Regular" w:hint="eastAsia"/>
                <w:kern w:val="0"/>
                <w:szCs w:val="24"/>
                <w:lang/>
              </w:rPr>
              <w:t>54</w:t>
            </w:r>
          </w:p>
        </w:tc>
      </w:tr>
    </w:tbl>
    <w:p w:rsidR="005B7551" w:rsidRDefault="00252D0C" w:rsidP="000334EE">
      <w:pPr>
        <w:tabs>
          <w:tab w:val="left" w:pos="7560"/>
          <w:tab w:val="left" w:pos="8100"/>
        </w:tabs>
        <w:spacing w:afterLines="50"/>
        <w:jc w:val="right"/>
        <w:rPr>
          <w:rFonts w:ascii="Times New Roman" w:eastAsia="宋体" w:hAnsi="Times New Roman"/>
          <w:szCs w:val="24"/>
        </w:rPr>
      </w:pPr>
      <w:r>
        <w:rPr>
          <w:rFonts w:ascii="Times New Roman" w:eastAsia="宋体" w:hAnsi="Times New Roman"/>
          <w:szCs w:val="24"/>
        </w:rPr>
        <w:t>数据来源：中国债券信息网</w:t>
      </w:r>
    </w:p>
    <w:p w:rsidR="005B7551" w:rsidRDefault="00252D0C">
      <w:pPr>
        <w:widowControl/>
        <w:tabs>
          <w:tab w:val="left" w:pos="0"/>
          <w:tab w:val="left" w:pos="840"/>
        </w:tabs>
        <w:spacing w:before="100" w:beforeAutospacing="1" w:after="100" w:afterAutospacing="1"/>
        <w:jc w:val="left"/>
        <w:rPr>
          <w:rFonts w:ascii="Times New Roman" w:eastAsia="黑体" w:hAnsi="Times New Roman"/>
          <w:b/>
          <w:color w:val="auto"/>
          <w:sz w:val="32"/>
          <w:szCs w:val="32"/>
          <w:highlight w:val="blue"/>
        </w:rPr>
      </w:pPr>
      <w:r>
        <w:rPr>
          <w:rFonts w:ascii="Times New Roman" w:eastAsia="黑体" w:hAnsi="Times New Roman"/>
          <w:b/>
          <w:color w:val="FFFFFF"/>
          <w:sz w:val="32"/>
          <w:szCs w:val="32"/>
          <w:highlight w:val="blue"/>
        </w:rPr>
        <w:lastRenderedPageBreak/>
        <w:t>新规及解读</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color w:val="auto"/>
          <w:kern w:val="0"/>
          <w:szCs w:val="24"/>
        </w:rPr>
        <w:t>2</w:t>
      </w:r>
      <w:r>
        <w:rPr>
          <w:rFonts w:ascii="Times New Roman" w:eastAsia="宋体" w:hAnsi="Times New Roman" w:hint="eastAsia"/>
          <w:color w:val="auto"/>
          <w:kern w:val="0"/>
          <w:szCs w:val="24"/>
          <w:lang/>
        </w:rPr>
        <w:t>月</w:t>
      </w:r>
      <w:r>
        <w:rPr>
          <w:rFonts w:ascii="Times New Roman" w:eastAsia="宋体" w:hAnsi="Times New Roman"/>
          <w:color w:val="auto"/>
          <w:kern w:val="0"/>
          <w:szCs w:val="24"/>
          <w:lang/>
        </w:rPr>
        <w:t>10</w:t>
      </w:r>
      <w:r>
        <w:rPr>
          <w:rFonts w:ascii="Times New Roman" w:eastAsia="宋体" w:hAnsi="Times New Roman" w:hint="eastAsia"/>
          <w:color w:val="auto"/>
          <w:kern w:val="0"/>
          <w:szCs w:val="24"/>
          <w:lang/>
        </w:rPr>
        <w:t>日</w:t>
      </w:r>
      <w:r>
        <w:rPr>
          <w:rFonts w:ascii="Times New Roman" w:eastAsia="宋体" w:hAnsi="Times New Roman"/>
          <w:color w:val="auto"/>
          <w:kern w:val="0"/>
          <w:szCs w:val="24"/>
          <w:lang/>
        </w:rPr>
        <w:t>，</w:t>
      </w:r>
      <w:r>
        <w:rPr>
          <w:rFonts w:ascii="Times New Roman" w:eastAsia="宋体" w:hAnsi="Times New Roman" w:hint="eastAsia"/>
          <w:color w:val="auto"/>
          <w:kern w:val="0"/>
          <w:szCs w:val="24"/>
          <w:lang/>
        </w:rPr>
        <w:t>深圳证券交易所</w:t>
      </w:r>
      <w:r>
        <w:rPr>
          <w:rFonts w:ascii="Times New Roman" w:eastAsia="宋体" w:hAnsi="Times New Roman"/>
          <w:color w:val="auto"/>
          <w:kern w:val="0"/>
          <w:szCs w:val="24"/>
          <w:lang/>
        </w:rPr>
        <w:t>（</w:t>
      </w:r>
      <w:r>
        <w:rPr>
          <w:rFonts w:ascii="Times New Roman" w:eastAsia="宋体" w:hAnsi="Times New Roman" w:hint="eastAsia"/>
          <w:color w:val="auto"/>
          <w:kern w:val="0"/>
          <w:szCs w:val="24"/>
          <w:lang/>
        </w:rPr>
        <w:t>以下简称深交所</w:t>
      </w:r>
      <w:r>
        <w:rPr>
          <w:rFonts w:ascii="Times New Roman" w:eastAsia="宋体" w:hAnsi="Times New Roman"/>
          <w:color w:val="auto"/>
          <w:kern w:val="0"/>
          <w:szCs w:val="24"/>
          <w:lang/>
        </w:rPr>
        <w:t>）</w:t>
      </w:r>
      <w:r>
        <w:rPr>
          <w:rFonts w:ascii="Times New Roman" w:eastAsia="宋体" w:hAnsi="Times New Roman" w:hint="eastAsia"/>
          <w:color w:val="auto"/>
          <w:kern w:val="0"/>
          <w:szCs w:val="24"/>
          <w:lang/>
        </w:rPr>
        <w:t>发布《深圳证券交易所上市公司自律监管指引第</w:t>
      </w:r>
      <w:r>
        <w:rPr>
          <w:rFonts w:ascii="Times New Roman" w:eastAsia="宋体" w:hAnsi="Times New Roman" w:hint="eastAsia"/>
          <w:color w:val="auto"/>
          <w:kern w:val="0"/>
          <w:szCs w:val="24"/>
          <w:lang/>
        </w:rPr>
        <w:t>3</w:t>
      </w:r>
      <w:r>
        <w:rPr>
          <w:rFonts w:ascii="Times New Roman" w:eastAsia="宋体" w:hAnsi="Times New Roman" w:hint="eastAsia"/>
          <w:color w:val="auto"/>
          <w:kern w:val="0"/>
          <w:szCs w:val="24"/>
          <w:lang/>
        </w:rPr>
        <w:t>号</w:t>
      </w:r>
      <w:r>
        <w:rPr>
          <w:rFonts w:ascii="Times New Roman" w:eastAsia="宋体" w:hAnsi="Times New Roman"/>
          <w:color w:val="auto"/>
          <w:kern w:val="0"/>
          <w:szCs w:val="24"/>
          <w:lang/>
        </w:rPr>
        <w:t>——</w:t>
      </w:r>
      <w:r>
        <w:rPr>
          <w:rFonts w:ascii="Times New Roman" w:eastAsia="宋体" w:hAnsi="Times New Roman" w:hint="eastAsia"/>
          <w:color w:val="auto"/>
          <w:kern w:val="0"/>
          <w:szCs w:val="24"/>
          <w:lang/>
        </w:rPr>
        <w:t>行业信息披露</w:t>
      </w:r>
      <w:r>
        <w:rPr>
          <w:rFonts w:ascii="Times New Roman" w:eastAsia="宋体" w:hAnsi="Times New Roman"/>
          <w:color w:val="auto"/>
          <w:kern w:val="0"/>
          <w:szCs w:val="24"/>
          <w:lang/>
        </w:rPr>
        <w:t>（</w:t>
      </w:r>
      <w:r>
        <w:rPr>
          <w:rFonts w:ascii="Times New Roman" w:eastAsia="宋体" w:hAnsi="Times New Roman"/>
          <w:color w:val="auto"/>
          <w:kern w:val="0"/>
          <w:szCs w:val="24"/>
          <w:lang/>
        </w:rPr>
        <w:t>2023</w:t>
      </w:r>
      <w:r>
        <w:rPr>
          <w:rFonts w:ascii="Times New Roman" w:eastAsia="宋体" w:hAnsi="Times New Roman" w:hint="eastAsia"/>
          <w:color w:val="auto"/>
          <w:kern w:val="0"/>
          <w:szCs w:val="24"/>
          <w:lang/>
        </w:rPr>
        <w:t>修订</w:t>
      </w:r>
      <w:r>
        <w:rPr>
          <w:rFonts w:ascii="Times New Roman" w:eastAsia="宋体" w:hAnsi="Times New Roman"/>
          <w:color w:val="auto"/>
          <w:kern w:val="0"/>
          <w:szCs w:val="24"/>
          <w:lang/>
        </w:rPr>
        <w:t>）</w:t>
      </w:r>
      <w:r>
        <w:rPr>
          <w:rFonts w:ascii="Times New Roman" w:eastAsia="宋体" w:hAnsi="Times New Roman" w:hint="eastAsia"/>
          <w:color w:val="auto"/>
          <w:kern w:val="0"/>
          <w:szCs w:val="24"/>
          <w:lang/>
        </w:rPr>
        <w:t>》</w:t>
      </w:r>
      <w:r>
        <w:rPr>
          <w:rFonts w:ascii="Times New Roman" w:eastAsia="宋体" w:hAnsi="Times New Roman"/>
          <w:color w:val="auto"/>
          <w:kern w:val="0"/>
          <w:szCs w:val="24"/>
          <w:lang/>
        </w:rPr>
        <w:t>（深证上〔</w:t>
      </w:r>
      <w:r>
        <w:rPr>
          <w:rFonts w:ascii="Times New Roman" w:eastAsia="宋体" w:hAnsi="Times New Roman"/>
          <w:color w:val="auto"/>
          <w:kern w:val="0"/>
          <w:szCs w:val="24"/>
          <w:lang/>
        </w:rPr>
        <w:t>2023</w:t>
      </w:r>
      <w:r>
        <w:rPr>
          <w:rFonts w:ascii="Times New Roman" w:eastAsia="宋体" w:hAnsi="Times New Roman"/>
          <w:color w:val="auto"/>
          <w:kern w:val="0"/>
          <w:szCs w:val="24"/>
          <w:lang/>
        </w:rPr>
        <w:t>〕</w:t>
      </w:r>
      <w:r>
        <w:rPr>
          <w:rFonts w:ascii="Times New Roman" w:eastAsia="宋体" w:hAnsi="Times New Roman"/>
          <w:color w:val="auto"/>
          <w:kern w:val="0"/>
          <w:szCs w:val="24"/>
          <w:lang/>
        </w:rPr>
        <w:t>78</w:t>
      </w:r>
      <w:r>
        <w:rPr>
          <w:rFonts w:ascii="Times New Roman" w:eastAsia="宋体" w:hAnsi="Times New Roman"/>
          <w:color w:val="auto"/>
          <w:kern w:val="0"/>
          <w:szCs w:val="24"/>
          <w:lang/>
        </w:rPr>
        <w:t>号）、</w:t>
      </w:r>
      <w:r>
        <w:rPr>
          <w:rFonts w:ascii="Times New Roman" w:eastAsia="宋体" w:hAnsi="Times New Roman" w:hint="eastAsia"/>
          <w:color w:val="auto"/>
          <w:kern w:val="0"/>
          <w:szCs w:val="24"/>
          <w:lang/>
        </w:rPr>
        <w:t>《深圳证券交易所上市公司自律监管指引第</w:t>
      </w:r>
      <w:r>
        <w:rPr>
          <w:rFonts w:ascii="Times New Roman" w:eastAsia="宋体" w:hAnsi="Times New Roman" w:hint="eastAsia"/>
          <w:color w:val="auto"/>
          <w:kern w:val="0"/>
          <w:szCs w:val="24"/>
          <w:lang/>
        </w:rPr>
        <w:t>4</w:t>
      </w:r>
      <w:r>
        <w:rPr>
          <w:rFonts w:ascii="Times New Roman" w:eastAsia="宋体" w:hAnsi="Times New Roman" w:hint="eastAsia"/>
          <w:color w:val="auto"/>
          <w:kern w:val="0"/>
          <w:szCs w:val="24"/>
          <w:lang/>
        </w:rPr>
        <w:t>号</w:t>
      </w:r>
      <w:r>
        <w:rPr>
          <w:rFonts w:ascii="Times New Roman" w:eastAsia="宋体" w:hAnsi="Times New Roman"/>
          <w:color w:val="auto"/>
          <w:kern w:val="0"/>
          <w:szCs w:val="24"/>
          <w:lang/>
        </w:rPr>
        <w:t>——</w:t>
      </w:r>
      <w:r>
        <w:rPr>
          <w:rFonts w:ascii="Times New Roman" w:eastAsia="宋体" w:hAnsi="Times New Roman" w:hint="eastAsia"/>
          <w:color w:val="auto"/>
          <w:kern w:val="0"/>
          <w:szCs w:val="24"/>
          <w:lang/>
        </w:rPr>
        <w:t>创业板行业信息披露》</w:t>
      </w:r>
      <w:r>
        <w:rPr>
          <w:rFonts w:ascii="Times New Roman" w:eastAsia="宋体" w:hAnsi="Times New Roman"/>
          <w:color w:val="auto"/>
          <w:kern w:val="0"/>
          <w:szCs w:val="24"/>
          <w:lang/>
        </w:rPr>
        <w:t>（深证上〔</w:t>
      </w:r>
      <w:r>
        <w:rPr>
          <w:rFonts w:ascii="Times New Roman" w:eastAsia="宋体" w:hAnsi="Times New Roman"/>
          <w:color w:val="auto"/>
          <w:kern w:val="0"/>
          <w:szCs w:val="24"/>
          <w:lang/>
        </w:rPr>
        <w:t>2023</w:t>
      </w:r>
      <w:r>
        <w:rPr>
          <w:rFonts w:ascii="Times New Roman" w:eastAsia="宋体" w:hAnsi="Times New Roman"/>
          <w:color w:val="auto"/>
          <w:kern w:val="0"/>
          <w:szCs w:val="24"/>
          <w:lang/>
        </w:rPr>
        <w:t>〕</w:t>
      </w:r>
      <w:r>
        <w:rPr>
          <w:rFonts w:ascii="Times New Roman" w:eastAsia="宋体" w:hAnsi="Times New Roman"/>
          <w:color w:val="auto"/>
          <w:kern w:val="0"/>
          <w:szCs w:val="24"/>
          <w:lang/>
        </w:rPr>
        <w:t>79</w:t>
      </w:r>
      <w:r>
        <w:rPr>
          <w:rFonts w:ascii="Times New Roman" w:eastAsia="宋体" w:hAnsi="Times New Roman"/>
          <w:color w:val="auto"/>
          <w:kern w:val="0"/>
          <w:szCs w:val="24"/>
          <w:lang/>
        </w:rPr>
        <w:t>号</w:t>
      </w:r>
      <w:r>
        <w:rPr>
          <w:rFonts w:ascii="Times New Roman" w:eastAsia="宋体" w:hAnsi="Times New Roman" w:hint="eastAsia"/>
          <w:color w:val="auto"/>
          <w:kern w:val="0"/>
          <w:szCs w:val="24"/>
          <w:lang/>
        </w:rPr>
        <w:t>）</w:t>
      </w:r>
      <w:r>
        <w:rPr>
          <w:rFonts w:ascii="Times New Roman" w:eastAsia="宋体" w:hAnsi="Times New Roman"/>
          <w:color w:val="auto"/>
          <w:kern w:val="0"/>
          <w:szCs w:val="24"/>
          <w:lang/>
        </w:rPr>
        <w:t>，</w:t>
      </w:r>
      <w:r>
        <w:rPr>
          <w:rFonts w:ascii="Times New Roman" w:eastAsia="宋体" w:hAnsi="Times New Roman" w:hint="eastAsia"/>
          <w:color w:val="auto"/>
          <w:kern w:val="0"/>
          <w:szCs w:val="24"/>
          <w:lang/>
        </w:rPr>
        <w:t>均</w:t>
      </w:r>
      <w:r>
        <w:rPr>
          <w:rFonts w:ascii="Times New Roman" w:eastAsia="宋体" w:hAnsi="Times New Roman"/>
          <w:color w:val="auto"/>
          <w:kern w:val="0"/>
          <w:szCs w:val="24"/>
          <w:lang/>
        </w:rPr>
        <w:t>自发布之日起施行。</w:t>
      </w:r>
    </w:p>
    <w:p w:rsidR="005B7551" w:rsidRDefault="00252D0C" w:rsidP="000334EE">
      <w:pPr>
        <w:widowControl/>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color w:val="auto"/>
          <w:kern w:val="0"/>
          <w:szCs w:val="24"/>
        </w:rPr>
        <w:t>本次修订坚持市场化法治化原则，秉承监管促发展理念，在进一步深入研究行业特点、系统总结前期行业监管经验、广泛听取市场各方需求的基础上，结合上市公司发展中的新问题新现象，对行业信披指引进行适应性调整，主要包括以下几个方面：一是回应市场关切，优化经营性信息披露要求。二是突出行业特性，强化</w:t>
      </w:r>
      <w:r>
        <w:rPr>
          <w:rFonts w:ascii="Times New Roman" w:eastAsia="宋体" w:hAnsi="Times New Roman"/>
          <w:color w:val="auto"/>
          <w:kern w:val="0"/>
          <w:szCs w:val="24"/>
        </w:rPr>
        <w:t>ESG</w:t>
      </w:r>
      <w:r>
        <w:rPr>
          <w:rFonts w:ascii="Times New Roman" w:eastAsia="宋体" w:hAnsi="Times New Roman"/>
          <w:color w:val="auto"/>
          <w:kern w:val="0"/>
          <w:szCs w:val="24"/>
        </w:rPr>
        <w:t>信息披露要求。三是强化规则协同，调整非行业信息披露要求。</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2</w:t>
      </w:r>
      <w:r>
        <w:rPr>
          <w:rFonts w:ascii="Times New Roman" w:eastAsia="宋体" w:hAnsi="Times New Roman"/>
          <w:color w:val="auto"/>
          <w:kern w:val="0"/>
          <w:szCs w:val="24"/>
        </w:rPr>
        <w:t>月</w:t>
      </w:r>
      <w:r>
        <w:rPr>
          <w:rFonts w:ascii="Times New Roman" w:eastAsia="宋体" w:hAnsi="Times New Roman"/>
          <w:color w:val="auto"/>
          <w:kern w:val="0"/>
          <w:szCs w:val="24"/>
        </w:rPr>
        <w:t>1</w:t>
      </w:r>
      <w:r>
        <w:rPr>
          <w:rFonts w:ascii="Times New Roman" w:eastAsia="宋体" w:hAnsi="Times New Roman" w:hint="eastAsia"/>
          <w:color w:val="auto"/>
          <w:kern w:val="0"/>
          <w:szCs w:val="24"/>
        </w:rPr>
        <w:t>7</w:t>
      </w:r>
      <w:r>
        <w:rPr>
          <w:rFonts w:ascii="Times New Roman" w:eastAsia="宋体" w:hAnsi="Times New Roman"/>
          <w:color w:val="auto"/>
          <w:kern w:val="0"/>
          <w:szCs w:val="24"/>
        </w:rPr>
        <w:t>日，中国</w:t>
      </w:r>
      <w:r>
        <w:rPr>
          <w:rFonts w:ascii="Times New Roman" w:eastAsia="宋体" w:hAnsi="Times New Roman" w:hint="eastAsia"/>
          <w:color w:val="auto"/>
          <w:kern w:val="0"/>
          <w:szCs w:val="24"/>
        </w:rPr>
        <w:t>证券监督</w:t>
      </w:r>
      <w:r>
        <w:rPr>
          <w:rFonts w:ascii="Times New Roman Regular" w:eastAsia="宋体" w:hAnsi="Times New Roman Regular" w:cs="Times New Roman Regular"/>
          <w:color w:val="auto"/>
          <w:kern w:val="0"/>
          <w:szCs w:val="24"/>
        </w:rPr>
        <w:t>管理委员会（以下简称证监会）发布了《首次公开发行股票注册管理办法》（证监会令第</w:t>
      </w:r>
      <w:r>
        <w:rPr>
          <w:rFonts w:ascii="Times New Roman Regular" w:eastAsia="宋体" w:hAnsi="Times New Roman Regular" w:cs="Times New Roman Regular"/>
          <w:color w:val="auto"/>
          <w:kern w:val="0"/>
          <w:szCs w:val="24"/>
        </w:rPr>
        <w:t>205</w:t>
      </w:r>
      <w:r>
        <w:rPr>
          <w:rFonts w:ascii="Times New Roman Regular" w:eastAsia="宋体" w:hAnsi="Times New Roman Regular" w:cs="Times New Roman Regular"/>
          <w:color w:val="auto"/>
          <w:kern w:val="0"/>
          <w:szCs w:val="24"/>
        </w:rPr>
        <w:t>号）、《上市公司证券发行注册管理办法》（证监会令第</w:t>
      </w:r>
      <w:r>
        <w:rPr>
          <w:rFonts w:ascii="Times New Roman Regular" w:eastAsia="宋体" w:hAnsi="Times New Roman Regular" w:cs="Times New Roman Regular"/>
          <w:color w:val="auto"/>
          <w:kern w:val="0"/>
          <w:szCs w:val="24"/>
        </w:rPr>
        <w:t>206</w:t>
      </w:r>
      <w:r>
        <w:rPr>
          <w:rFonts w:ascii="Times New Roman Regular" w:eastAsia="宋体" w:hAnsi="Times New Roman Regular" w:cs="Times New Roman Regular"/>
          <w:color w:val="auto"/>
          <w:kern w:val="0"/>
          <w:szCs w:val="24"/>
        </w:rPr>
        <w:t>号）</w:t>
      </w:r>
      <w:r>
        <w:rPr>
          <w:rFonts w:ascii="Times New Roman Regular" w:eastAsia="宋体" w:hAnsi="Times New Roman Regular" w:cs="Times New Roman Regular"/>
          <w:color w:val="auto"/>
          <w:kern w:val="0"/>
          <w:szCs w:val="24"/>
        </w:rPr>
        <w:t>、</w:t>
      </w:r>
      <w:r>
        <w:rPr>
          <w:rFonts w:ascii="Times New Roman Regular" w:eastAsia="宋体" w:hAnsi="Times New Roman Regular" w:cs="Times New Roman Regular"/>
          <w:color w:val="auto"/>
          <w:szCs w:val="24"/>
        </w:rPr>
        <w:t>《</w:t>
      </w:r>
      <w:r>
        <w:rPr>
          <w:rFonts w:ascii="Times New Roman Regular" w:eastAsia="宋体" w:hAnsi="Times New Roman Regular" w:cs="Times New Roman Regular"/>
          <w:color w:val="auto"/>
          <w:szCs w:val="24"/>
        </w:rPr>
        <w:t>上市公司重大资产重组管理办法</w:t>
      </w:r>
      <w:r>
        <w:rPr>
          <w:rFonts w:ascii="Times New Roman Regular" w:eastAsia="宋体" w:hAnsi="Times New Roman Regular" w:cs="Times New Roman Regular"/>
          <w:color w:val="auto"/>
          <w:szCs w:val="24"/>
        </w:rPr>
        <w:t>》（证监会令第</w:t>
      </w:r>
      <w:r>
        <w:rPr>
          <w:rFonts w:ascii="Times New Roman Regular" w:eastAsia="宋体" w:hAnsi="Times New Roman Regular" w:cs="Times New Roman Regular"/>
          <w:color w:val="auto"/>
          <w:kern w:val="0"/>
          <w:szCs w:val="24"/>
        </w:rPr>
        <w:t>214</w:t>
      </w:r>
      <w:r>
        <w:rPr>
          <w:rFonts w:ascii="Times New Roman Regular" w:eastAsia="宋体" w:hAnsi="Times New Roman Regular" w:cs="Times New Roman Regular"/>
          <w:color w:val="auto"/>
          <w:szCs w:val="24"/>
        </w:rPr>
        <w:t>号）</w:t>
      </w:r>
      <w:r>
        <w:rPr>
          <w:rFonts w:ascii="Times New Roman Regular" w:eastAsia="宋体" w:hAnsi="Times New Roman Regular" w:cs="Times New Roman Regular"/>
          <w:color w:val="auto"/>
          <w:szCs w:val="24"/>
        </w:rPr>
        <w:t>、</w:t>
      </w:r>
      <w:r>
        <w:rPr>
          <w:rFonts w:ascii="Times New Roman Regular" w:eastAsia="宋体" w:hAnsi="Times New Roman Regular" w:cs="Times New Roman Regular"/>
          <w:color w:val="auto"/>
          <w:szCs w:val="24"/>
        </w:rPr>
        <w:t>《</w:t>
      </w:r>
      <w:r>
        <w:rPr>
          <w:rFonts w:ascii="Times New Roman Regular" w:eastAsia="宋体" w:hAnsi="Times New Roman Regular" w:cs="Times New Roman Regular"/>
          <w:color w:val="auto"/>
          <w:szCs w:val="24"/>
        </w:rPr>
        <w:t>证券发行上市保荐业务管理办法</w:t>
      </w:r>
      <w:r>
        <w:rPr>
          <w:rFonts w:ascii="Times New Roman Regular" w:eastAsia="宋体" w:hAnsi="Times New Roman Regular" w:cs="Times New Roman Regular"/>
          <w:color w:val="auto"/>
          <w:szCs w:val="24"/>
        </w:rPr>
        <w:t>》（证监会令第</w:t>
      </w:r>
      <w:r>
        <w:rPr>
          <w:rFonts w:ascii="Times New Roman Regular" w:eastAsia="宋体" w:hAnsi="Times New Roman Regular" w:cs="Times New Roman Regular"/>
          <w:color w:val="auto"/>
          <w:szCs w:val="24"/>
        </w:rPr>
        <w:t>207</w:t>
      </w:r>
      <w:r>
        <w:rPr>
          <w:rFonts w:ascii="Times New Roman Regular" w:eastAsia="宋体" w:hAnsi="Times New Roman Regular" w:cs="Times New Roman Regular"/>
          <w:color w:val="auto"/>
          <w:szCs w:val="24"/>
        </w:rPr>
        <w:t>号）</w:t>
      </w:r>
      <w:r>
        <w:rPr>
          <w:rFonts w:ascii="宋体" w:eastAsia="宋体" w:cs="宋体" w:hint="eastAsia"/>
          <w:color w:val="auto"/>
          <w:szCs w:val="24"/>
        </w:rPr>
        <w:t>、</w:t>
      </w:r>
      <w:r>
        <w:rPr>
          <w:rFonts w:ascii="宋体" w:eastAsia="宋体" w:cs="宋体" w:hint="eastAsia"/>
          <w:color w:val="auto"/>
          <w:szCs w:val="24"/>
        </w:rPr>
        <w:t>《</w:t>
      </w:r>
      <w:r>
        <w:rPr>
          <w:rFonts w:ascii="宋体" w:eastAsia="宋体" w:cs="宋体"/>
          <w:color w:val="auto"/>
          <w:szCs w:val="24"/>
        </w:rPr>
        <w:t>证券发行与承销管理办法</w:t>
      </w:r>
      <w:r>
        <w:rPr>
          <w:rFonts w:ascii="宋体" w:eastAsia="宋体" w:cs="宋体" w:hint="eastAsia"/>
          <w:color w:val="auto"/>
          <w:szCs w:val="24"/>
        </w:rPr>
        <w:t>》（</w:t>
      </w:r>
      <w:r>
        <w:rPr>
          <w:rFonts w:ascii="宋体" w:eastAsia="宋体" w:cs="宋体"/>
          <w:color w:val="auto"/>
          <w:szCs w:val="24"/>
        </w:rPr>
        <w:t>证监会</w:t>
      </w:r>
      <w:r>
        <w:rPr>
          <w:rFonts w:ascii="宋体" w:eastAsia="宋体" w:cs="宋体" w:hint="eastAsia"/>
          <w:color w:val="auto"/>
          <w:szCs w:val="24"/>
        </w:rPr>
        <w:t>令第</w:t>
      </w:r>
      <w:r>
        <w:rPr>
          <w:rFonts w:ascii="Times New Roman" w:eastAsia="宋体" w:hAnsi="Times New Roman" w:hint="eastAsia"/>
          <w:color w:val="auto"/>
          <w:kern w:val="0"/>
          <w:szCs w:val="24"/>
        </w:rPr>
        <w:t>208</w:t>
      </w:r>
      <w:r>
        <w:rPr>
          <w:rFonts w:ascii="宋体" w:eastAsia="宋体" w:cs="宋体"/>
          <w:color w:val="auto"/>
          <w:szCs w:val="24"/>
        </w:rPr>
        <w:t>号</w:t>
      </w:r>
      <w:r>
        <w:rPr>
          <w:rFonts w:ascii="宋体" w:eastAsia="宋体" w:cs="宋体" w:hint="eastAsia"/>
          <w:color w:val="auto"/>
          <w:szCs w:val="24"/>
        </w:rPr>
        <w:t>）</w:t>
      </w:r>
      <w:r>
        <w:rPr>
          <w:rFonts w:ascii="Times New Roman" w:eastAsia="宋体" w:hAnsi="Times New Roman" w:hint="eastAsia"/>
          <w:color w:val="auto"/>
          <w:kern w:val="0"/>
          <w:szCs w:val="24"/>
          <w:lang/>
        </w:rPr>
        <w:t>等</w:t>
      </w:r>
      <w:r>
        <w:rPr>
          <w:rFonts w:ascii="Times New Roman" w:eastAsia="宋体" w:hAnsi="Times New Roman"/>
          <w:color w:val="auto"/>
          <w:kern w:val="0"/>
          <w:szCs w:val="24"/>
          <w:lang/>
        </w:rPr>
        <w:t>57</w:t>
      </w:r>
      <w:r>
        <w:rPr>
          <w:rFonts w:ascii="Times New Roman" w:eastAsia="宋体" w:hAnsi="Times New Roman" w:hint="eastAsia"/>
          <w:color w:val="auto"/>
          <w:kern w:val="0"/>
          <w:szCs w:val="24"/>
          <w:lang/>
        </w:rPr>
        <w:t>部全面实行股票发行注册制相关制度规则</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lang/>
        </w:rPr>
        <w:t>均</w:t>
      </w:r>
      <w:r>
        <w:rPr>
          <w:rFonts w:ascii="Times New Roman" w:eastAsia="宋体" w:hAnsi="Times New Roman"/>
          <w:color w:val="auto"/>
          <w:kern w:val="0"/>
          <w:szCs w:val="24"/>
        </w:rPr>
        <w:t>自</w:t>
      </w:r>
      <w:r>
        <w:rPr>
          <w:rFonts w:ascii="Times New Roman" w:eastAsia="宋体" w:hAnsi="Times New Roman" w:hint="eastAsia"/>
          <w:color w:val="auto"/>
          <w:kern w:val="0"/>
          <w:szCs w:val="24"/>
        </w:rPr>
        <w:t>公布之</w:t>
      </w:r>
      <w:r>
        <w:rPr>
          <w:rFonts w:ascii="Times New Roman" w:eastAsia="宋体" w:hAnsi="Times New Roman"/>
          <w:color w:val="auto"/>
          <w:kern w:val="0"/>
          <w:szCs w:val="24"/>
        </w:rPr>
        <w:t>日起施行。</w:t>
      </w:r>
    </w:p>
    <w:p w:rsidR="005B7551" w:rsidRDefault="00252D0C" w:rsidP="000334EE">
      <w:pPr>
        <w:widowControl/>
        <w:tabs>
          <w:tab w:val="left" w:pos="426"/>
        </w:tabs>
        <w:adjustRightInd w:val="0"/>
        <w:snapToGrid w:val="0"/>
        <w:spacing w:afterLines="50" w:line="360" w:lineRule="auto"/>
        <w:ind w:firstLineChars="200" w:firstLine="480"/>
        <w:rPr>
          <w:rFonts w:ascii="宋体" w:eastAsia="宋体" w:cs="宋体"/>
          <w:szCs w:val="24"/>
        </w:rPr>
      </w:pPr>
      <w:r>
        <w:rPr>
          <w:rFonts w:ascii="Times New Roman" w:eastAsia="宋体" w:hAnsi="Times New Roman"/>
          <w:color w:val="auto"/>
          <w:kern w:val="0"/>
          <w:szCs w:val="24"/>
        </w:rPr>
        <w:t>此次发布的制度规则内容涵盖发行条件、注册程序、保荐承销、重大资产重组、监管执法、投资者保护等各个方面</w:t>
      </w:r>
      <w:r>
        <w:rPr>
          <w:rFonts w:ascii="Times New Roman" w:eastAsia="宋体" w:hAnsi="Times New Roman"/>
          <w:color w:val="auto"/>
          <w:kern w:val="0"/>
          <w:szCs w:val="24"/>
        </w:rPr>
        <w:t>。</w:t>
      </w:r>
      <w:r>
        <w:rPr>
          <w:rFonts w:ascii="Times New Roman" w:eastAsia="宋体" w:hAnsi="Times New Roman"/>
          <w:color w:val="auto"/>
          <w:kern w:val="0"/>
          <w:szCs w:val="24"/>
        </w:rPr>
        <w:t>主要包括：一是精简优化发行上市条件。坚持以信息披露为核心，将核准制下的发行条件尽可能转化为信息披露要求。各市场板块设置多元包容的上市条件。二是完善审核注册程序。坚持证券交易所审核和证监会注册各有侧重、相互衔接的基本架构，进一步明晰证券交易所和证监会的职责分工，提高审核注册效率和可预期性。证券交易所审核过程中发现重大敏感事项、重大无先例情况、重大舆情、重大违法线索的，及时向证监会请示报告。证监会同步关注发行人是否符合国家产业政策和板块定位。三是优化发行承销制度。对新股发行价格、规模等不设任何行政性限制，完善以</w:t>
      </w:r>
      <w:r>
        <w:rPr>
          <w:rFonts w:ascii="Times New Roman" w:eastAsia="宋体" w:hAnsi="Times New Roman"/>
          <w:color w:val="auto"/>
          <w:kern w:val="0"/>
          <w:szCs w:val="24"/>
        </w:rPr>
        <w:t>机构投资者为参与主体的询价、定价、配售等机制。四是完善上市公司重大资产重组制度。各市场板块上市公司发行股份购买资产统一实行注册制，完善重组认定标准和定价机制，强化对重组活动的事中事后监管。五是强化监管执法和投资者保护。依法从严打击证券发行、保荐承销等过程中的违法行为。细化责令回购制度安排。</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lastRenderedPageBreak/>
        <w:t>2</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17</w:t>
      </w:r>
      <w:r>
        <w:rPr>
          <w:rFonts w:ascii="Times New Roman" w:eastAsia="宋体" w:hAnsi="Times New Roman" w:hint="eastAsia"/>
          <w:color w:val="auto"/>
          <w:kern w:val="0"/>
          <w:szCs w:val="24"/>
        </w:rPr>
        <w:t>日，</w:t>
      </w:r>
      <w:r>
        <w:rPr>
          <w:rFonts w:ascii="Times New Roman" w:eastAsia="宋体" w:hAnsi="Times New Roman" w:hint="eastAsia"/>
          <w:color w:val="auto"/>
          <w:kern w:val="0"/>
          <w:szCs w:val="24"/>
        </w:rPr>
        <w:t>按照证监会统一部署，</w:t>
      </w:r>
      <w:r>
        <w:rPr>
          <w:rFonts w:ascii="Times New Roman" w:eastAsia="宋体" w:hAnsi="Times New Roman" w:hint="eastAsia"/>
          <w:color w:val="auto"/>
          <w:kern w:val="0"/>
          <w:szCs w:val="24"/>
          <w:lang/>
        </w:rPr>
        <w:t>上海证券交易所</w:t>
      </w:r>
      <w:r>
        <w:rPr>
          <w:rFonts w:ascii="Times New Roman" w:eastAsia="宋体" w:hAnsi="Times New Roman"/>
          <w:color w:val="auto"/>
          <w:kern w:val="0"/>
          <w:szCs w:val="24"/>
          <w:lang/>
        </w:rPr>
        <w:t>（</w:t>
      </w:r>
      <w:r>
        <w:rPr>
          <w:rFonts w:ascii="Times New Roman" w:eastAsia="宋体" w:hAnsi="Times New Roman" w:hint="eastAsia"/>
          <w:color w:val="auto"/>
          <w:kern w:val="0"/>
          <w:szCs w:val="24"/>
          <w:lang/>
        </w:rPr>
        <w:t>以下简称</w:t>
      </w:r>
      <w:r>
        <w:rPr>
          <w:rFonts w:ascii="Times New Roman" w:eastAsia="宋体" w:hAnsi="Times New Roman" w:hint="eastAsia"/>
          <w:color w:val="auto"/>
          <w:kern w:val="0"/>
          <w:szCs w:val="24"/>
        </w:rPr>
        <w:t>上交所</w:t>
      </w:r>
      <w:r>
        <w:rPr>
          <w:rFonts w:ascii="Times New Roman" w:eastAsia="宋体" w:hAnsi="Times New Roman"/>
          <w:color w:val="auto"/>
          <w:kern w:val="0"/>
          <w:szCs w:val="24"/>
        </w:rPr>
        <w:t>）</w:t>
      </w:r>
      <w:r>
        <w:rPr>
          <w:rFonts w:ascii="Times New Roman" w:eastAsia="宋体" w:hAnsi="Times New Roman" w:hint="eastAsia"/>
          <w:color w:val="auto"/>
          <w:kern w:val="0"/>
          <w:szCs w:val="24"/>
        </w:rPr>
        <w:t>集中发布了</w:t>
      </w:r>
      <w:r>
        <w:rPr>
          <w:rFonts w:ascii="Times New Roman" w:eastAsia="宋体" w:hAnsi="Times New Roman" w:hint="eastAsia"/>
          <w:color w:val="auto"/>
          <w:kern w:val="0"/>
          <w:szCs w:val="24"/>
        </w:rPr>
        <w:t>26</w:t>
      </w:r>
      <w:r>
        <w:rPr>
          <w:rFonts w:ascii="Times New Roman" w:eastAsia="宋体" w:hAnsi="Times New Roman" w:hint="eastAsia"/>
          <w:color w:val="auto"/>
          <w:kern w:val="0"/>
          <w:szCs w:val="24"/>
        </w:rPr>
        <w:t>部业务规则，包括《上海证券交易所股票发行上市审核规则》（</w:t>
      </w:r>
      <w:r>
        <w:rPr>
          <w:rFonts w:ascii="Times New Roman" w:eastAsia="宋体" w:hAnsi="Times New Roman" w:hint="eastAsia"/>
          <w:color w:val="auto"/>
          <w:kern w:val="0"/>
          <w:szCs w:val="24"/>
        </w:rPr>
        <w:t>上证发〔</w:t>
      </w:r>
      <w:r>
        <w:rPr>
          <w:rFonts w:ascii="Times New Roman" w:eastAsia="宋体" w:hAnsi="Times New Roman" w:hint="eastAsia"/>
          <w:color w:val="auto"/>
          <w:kern w:val="0"/>
          <w:szCs w:val="24"/>
        </w:rPr>
        <w:t>2023</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rPr>
        <w:t>28</w:t>
      </w:r>
      <w:r>
        <w:rPr>
          <w:rFonts w:ascii="Times New Roman" w:eastAsia="宋体" w:hAnsi="Times New Roman" w:hint="eastAsia"/>
          <w:color w:val="auto"/>
          <w:kern w:val="0"/>
          <w:szCs w:val="24"/>
        </w:rPr>
        <w:t>号</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rPr>
        <w:t>上海证券交易所上市公司证券发行上市审核规则</w:t>
      </w:r>
      <w:r>
        <w:rPr>
          <w:rFonts w:ascii="Times New Roman" w:eastAsia="宋体" w:hAnsi="Times New Roman"/>
          <w:color w:val="auto"/>
          <w:kern w:val="0"/>
          <w:szCs w:val="24"/>
        </w:rPr>
        <w:t>》</w:t>
      </w:r>
      <w:r>
        <w:rPr>
          <w:rFonts w:ascii="Times New Roman" w:eastAsia="宋体" w:hAnsi="Times New Roman" w:hint="eastAsia"/>
          <w:color w:val="auto"/>
          <w:kern w:val="0"/>
          <w:szCs w:val="24"/>
        </w:rPr>
        <w:t>（</w:t>
      </w:r>
      <w:r>
        <w:rPr>
          <w:rFonts w:ascii="Times New Roman" w:eastAsia="宋体" w:hAnsi="Times New Roman"/>
          <w:color w:val="auto"/>
          <w:kern w:val="0"/>
          <w:szCs w:val="24"/>
        </w:rPr>
        <w:t>上证发〔</w:t>
      </w:r>
      <w:r>
        <w:rPr>
          <w:rFonts w:ascii="Times New Roman" w:eastAsia="宋体" w:hAnsi="Times New Roman"/>
          <w:color w:val="auto"/>
          <w:kern w:val="0"/>
          <w:szCs w:val="24"/>
        </w:rPr>
        <w:t>2023</w:t>
      </w:r>
      <w:r>
        <w:rPr>
          <w:rFonts w:ascii="Times New Roman" w:eastAsia="宋体" w:hAnsi="Times New Roman"/>
          <w:color w:val="auto"/>
          <w:kern w:val="0"/>
          <w:szCs w:val="24"/>
        </w:rPr>
        <w:t>〕</w:t>
      </w:r>
      <w:r>
        <w:rPr>
          <w:rFonts w:ascii="Times New Roman" w:eastAsia="宋体" w:hAnsi="Times New Roman" w:hint="eastAsia"/>
          <w:color w:val="auto"/>
          <w:kern w:val="0"/>
          <w:szCs w:val="24"/>
        </w:rPr>
        <w:t>29</w:t>
      </w:r>
      <w:r>
        <w:rPr>
          <w:rFonts w:ascii="Times New Roman" w:eastAsia="宋体" w:hAnsi="Times New Roman"/>
          <w:color w:val="auto"/>
          <w:kern w:val="0"/>
          <w:szCs w:val="24"/>
        </w:rPr>
        <w:t>号</w:t>
      </w:r>
      <w:r>
        <w:rPr>
          <w:rFonts w:ascii="Times New Roman" w:eastAsia="宋体" w:hAnsi="Times New Roman" w:hint="eastAsia"/>
          <w:color w:val="auto"/>
          <w:kern w:val="0"/>
          <w:szCs w:val="24"/>
        </w:rPr>
        <w:t>）、</w:t>
      </w:r>
      <w:r>
        <w:rPr>
          <w:rFonts w:ascii="Times New Roman" w:eastAsia="宋体" w:hAnsi="Times New Roman"/>
          <w:color w:val="auto"/>
          <w:kern w:val="0"/>
          <w:szCs w:val="24"/>
        </w:rPr>
        <w:t>《</w:t>
      </w:r>
      <w:r>
        <w:rPr>
          <w:rFonts w:ascii="Times New Roman" w:eastAsia="宋体" w:hAnsi="Times New Roman" w:hint="eastAsia"/>
          <w:color w:val="auto"/>
          <w:kern w:val="0"/>
          <w:szCs w:val="24"/>
        </w:rPr>
        <w:t>上海证券交易所上市公司重大资产重组审核规则</w:t>
      </w:r>
      <w:r>
        <w:rPr>
          <w:rFonts w:ascii="Times New Roman" w:eastAsia="宋体" w:hAnsi="Times New Roman"/>
          <w:color w:val="auto"/>
          <w:kern w:val="0"/>
          <w:szCs w:val="24"/>
        </w:rPr>
        <w:t>》</w:t>
      </w:r>
      <w:r>
        <w:rPr>
          <w:rFonts w:ascii="Times New Roman" w:eastAsia="宋体" w:hAnsi="Times New Roman" w:hint="eastAsia"/>
          <w:color w:val="auto"/>
          <w:kern w:val="0"/>
          <w:szCs w:val="24"/>
        </w:rPr>
        <w:t>（</w:t>
      </w:r>
      <w:r>
        <w:rPr>
          <w:rFonts w:ascii="Times New Roman" w:eastAsia="宋体" w:hAnsi="Times New Roman"/>
          <w:color w:val="auto"/>
          <w:kern w:val="0"/>
          <w:szCs w:val="24"/>
        </w:rPr>
        <w:t>上证发〔</w:t>
      </w:r>
      <w:r>
        <w:rPr>
          <w:rFonts w:ascii="Times New Roman" w:eastAsia="宋体" w:hAnsi="Times New Roman"/>
          <w:color w:val="auto"/>
          <w:kern w:val="0"/>
          <w:szCs w:val="24"/>
        </w:rPr>
        <w:t>2023</w:t>
      </w:r>
      <w:r>
        <w:rPr>
          <w:rFonts w:ascii="Times New Roman" w:eastAsia="宋体" w:hAnsi="Times New Roman"/>
          <w:color w:val="auto"/>
          <w:kern w:val="0"/>
          <w:szCs w:val="24"/>
        </w:rPr>
        <w:t>〕</w:t>
      </w:r>
      <w:r>
        <w:rPr>
          <w:rFonts w:ascii="Times New Roman" w:eastAsia="宋体" w:hAnsi="Times New Roman"/>
          <w:color w:val="auto"/>
          <w:kern w:val="0"/>
          <w:szCs w:val="24"/>
        </w:rPr>
        <w:t>30</w:t>
      </w:r>
      <w:r>
        <w:rPr>
          <w:rFonts w:ascii="Times New Roman" w:eastAsia="宋体" w:hAnsi="Times New Roman"/>
          <w:color w:val="auto"/>
          <w:kern w:val="0"/>
          <w:szCs w:val="24"/>
        </w:rPr>
        <w:t>号</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rPr>
        <w:t>等</w:t>
      </w:r>
      <w:r>
        <w:rPr>
          <w:rFonts w:ascii="Times New Roman" w:eastAsia="宋体" w:hAnsi="Times New Roman" w:hint="eastAsia"/>
          <w:color w:val="auto"/>
          <w:kern w:val="0"/>
          <w:szCs w:val="24"/>
        </w:rPr>
        <w:t>9</w:t>
      </w:r>
      <w:r>
        <w:rPr>
          <w:rFonts w:ascii="Times New Roman" w:eastAsia="宋体" w:hAnsi="Times New Roman" w:hint="eastAsia"/>
          <w:color w:val="auto"/>
          <w:kern w:val="0"/>
          <w:szCs w:val="24"/>
        </w:rPr>
        <w:t>部主要业务规则以及</w:t>
      </w:r>
      <w:r>
        <w:rPr>
          <w:rFonts w:ascii="Times New Roman" w:eastAsia="宋体" w:hAnsi="Times New Roman" w:hint="eastAsia"/>
          <w:color w:val="auto"/>
          <w:kern w:val="0"/>
          <w:szCs w:val="24"/>
        </w:rPr>
        <w:t>17</w:t>
      </w:r>
      <w:r>
        <w:rPr>
          <w:rFonts w:ascii="Times New Roman" w:eastAsia="宋体" w:hAnsi="Times New Roman" w:hint="eastAsia"/>
          <w:color w:val="auto"/>
          <w:kern w:val="0"/>
          <w:szCs w:val="24"/>
        </w:rPr>
        <w:t>部配套业务细则、指引和业务指南</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rPr>
        <w:t>均</w:t>
      </w:r>
      <w:r>
        <w:rPr>
          <w:rFonts w:ascii="Times New Roman" w:eastAsia="宋体" w:hAnsi="Times New Roman" w:hint="eastAsia"/>
          <w:color w:val="auto"/>
          <w:kern w:val="0"/>
          <w:szCs w:val="24"/>
        </w:rPr>
        <w:t>自公布之日起施行</w:t>
      </w:r>
      <w:r>
        <w:rPr>
          <w:rFonts w:ascii="Times New Roman" w:eastAsia="宋体" w:hAnsi="Times New Roman" w:hint="eastAsia"/>
          <w:color w:val="auto"/>
          <w:kern w:val="0"/>
          <w:szCs w:val="24"/>
        </w:rPr>
        <w:t>。</w:t>
      </w:r>
    </w:p>
    <w:p w:rsidR="005B7551" w:rsidRDefault="00252D0C" w:rsidP="000334EE">
      <w:pPr>
        <w:widowControl/>
        <w:numPr>
          <w:ilvl w:val="255"/>
          <w:numId w:val="0"/>
        </w:numPr>
        <w:tabs>
          <w:tab w:val="left" w:pos="426"/>
        </w:tabs>
        <w:adjustRightInd w:val="0"/>
        <w:snapToGrid w:val="0"/>
        <w:spacing w:afterLines="50" w:line="360" w:lineRule="auto"/>
        <w:ind w:firstLineChars="200" w:firstLine="480"/>
        <w:rPr>
          <w:rFonts w:ascii="宋体" w:eastAsia="宋体" w:cs="宋体"/>
          <w:color w:val="auto"/>
          <w:szCs w:val="24"/>
        </w:rPr>
      </w:pPr>
      <w:r>
        <w:rPr>
          <w:rFonts w:ascii="宋体" w:eastAsia="宋体" w:cs="宋体" w:hint="eastAsia"/>
          <w:color w:val="auto"/>
          <w:szCs w:val="24"/>
          <w:lang/>
        </w:rPr>
        <w:t>此次</w:t>
      </w:r>
      <w:r>
        <w:rPr>
          <w:rFonts w:ascii="宋体" w:eastAsia="宋体" w:cs="宋体" w:hint="eastAsia"/>
          <w:color w:val="auto"/>
          <w:szCs w:val="24"/>
        </w:rPr>
        <w:t>上交所</w:t>
      </w:r>
      <w:r>
        <w:rPr>
          <w:rFonts w:ascii="宋体" w:eastAsia="宋体" w:cs="宋体" w:hint="eastAsia"/>
          <w:color w:val="auto"/>
          <w:szCs w:val="24"/>
          <w:lang/>
        </w:rPr>
        <w:t>发布的</w:t>
      </w:r>
      <w:r>
        <w:rPr>
          <w:rFonts w:ascii="宋体" w:eastAsia="宋体" w:cs="宋体" w:hint="eastAsia"/>
          <w:color w:val="auto"/>
          <w:szCs w:val="24"/>
        </w:rPr>
        <w:t>业务规则涵盖了全面实行注册制下发行上市审核、发行承销、持续监管、交易组织管理和投资者保护等环节的主要制度安排。具体包括</w:t>
      </w:r>
      <w:r>
        <w:rPr>
          <w:rFonts w:ascii="宋体" w:eastAsia="宋体" w:cs="宋体" w:hint="eastAsia"/>
          <w:color w:val="auto"/>
          <w:szCs w:val="24"/>
        </w:rPr>
        <w:t>四</w:t>
      </w:r>
      <w:r>
        <w:rPr>
          <w:rFonts w:ascii="宋体" w:eastAsia="宋体" w:cs="宋体" w:hint="eastAsia"/>
          <w:color w:val="auto"/>
          <w:szCs w:val="24"/>
        </w:rPr>
        <w:t>大类别：</w:t>
      </w:r>
      <w:r>
        <w:rPr>
          <w:rFonts w:ascii="宋体" w:eastAsia="宋体" w:cs="宋体" w:hint="eastAsia"/>
          <w:color w:val="auto"/>
          <w:szCs w:val="24"/>
        </w:rPr>
        <w:t>一是</w:t>
      </w:r>
      <w:r>
        <w:rPr>
          <w:rFonts w:ascii="宋体" w:eastAsia="宋体" w:cs="宋体" w:hint="eastAsia"/>
          <w:color w:val="auto"/>
          <w:szCs w:val="24"/>
        </w:rPr>
        <w:t>11</w:t>
      </w:r>
      <w:r>
        <w:rPr>
          <w:rFonts w:ascii="宋体" w:eastAsia="宋体" w:cs="宋体" w:hint="eastAsia"/>
          <w:color w:val="auto"/>
          <w:szCs w:val="24"/>
        </w:rPr>
        <w:t>部发行上市审核类规则，分别为首发、再融资、并购重组、优先股等发行上市审核规则，以及与发行上市审核配套的申请文件受理、现场督导、业务咨询沟通等指引和指南。</w:t>
      </w:r>
      <w:r>
        <w:rPr>
          <w:rFonts w:ascii="宋体" w:eastAsia="宋体" w:cs="宋体" w:hint="eastAsia"/>
          <w:color w:val="auto"/>
          <w:szCs w:val="24"/>
        </w:rPr>
        <w:t>二是</w:t>
      </w:r>
      <w:r>
        <w:rPr>
          <w:rFonts w:ascii="宋体" w:eastAsia="宋体" w:cs="宋体" w:hint="eastAsia"/>
          <w:color w:val="auto"/>
          <w:szCs w:val="24"/>
        </w:rPr>
        <w:t>6</w:t>
      </w:r>
      <w:r>
        <w:rPr>
          <w:rFonts w:ascii="宋体" w:eastAsia="宋体" w:cs="宋体" w:hint="eastAsia"/>
          <w:color w:val="auto"/>
          <w:szCs w:val="24"/>
        </w:rPr>
        <w:t>部发行承销类规则，包括首发和再融资发行承销业务细则，以及网上网下发行业务细则、自律委员会工作规则和上市公告书指引。</w:t>
      </w:r>
      <w:r>
        <w:rPr>
          <w:rFonts w:ascii="宋体" w:eastAsia="宋体" w:cs="宋体" w:hint="eastAsia"/>
          <w:color w:val="auto"/>
          <w:szCs w:val="24"/>
        </w:rPr>
        <w:t>三是</w:t>
      </w:r>
      <w:r>
        <w:rPr>
          <w:rFonts w:ascii="宋体" w:eastAsia="宋体" w:cs="宋体" w:hint="eastAsia"/>
          <w:color w:val="auto"/>
          <w:szCs w:val="24"/>
        </w:rPr>
        <w:t>2</w:t>
      </w:r>
      <w:r>
        <w:rPr>
          <w:rFonts w:ascii="宋体" w:eastAsia="宋体" w:cs="宋体" w:hint="eastAsia"/>
          <w:color w:val="auto"/>
          <w:szCs w:val="24"/>
        </w:rPr>
        <w:t>部持续监管类规则，即主板股票上市规则和重大资产重组指引。</w:t>
      </w:r>
      <w:r>
        <w:rPr>
          <w:rFonts w:ascii="宋体" w:eastAsia="宋体" w:cs="宋体" w:hint="eastAsia"/>
          <w:color w:val="auto"/>
          <w:szCs w:val="24"/>
        </w:rPr>
        <w:t>四是</w:t>
      </w:r>
      <w:r>
        <w:rPr>
          <w:rFonts w:ascii="宋体" w:eastAsia="宋体" w:cs="宋体" w:hint="eastAsia"/>
          <w:color w:val="auto"/>
          <w:szCs w:val="24"/>
        </w:rPr>
        <w:t>7</w:t>
      </w:r>
      <w:r>
        <w:rPr>
          <w:rFonts w:ascii="宋体" w:eastAsia="宋体" w:cs="宋体" w:hint="eastAsia"/>
          <w:color w:val="auto"/>
          <w:szCs w:val="24"/>
        </w:rPr>
        <w:t>部交易组织和管理类规则，分别是交易规则、融资融券交易细则、转融通证券出借交易办法、主板和科创板异常交易监控细则、注册制下股票和存托凭证暂不作为股票质押回购和约定购回交易标的证券的通知以及主板风险揭示书必备条款指南。</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2</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17</w:t>
      </w:r>
      <w:r>
        <w:rPr>
          <w:rFonts w:ascii="Times New Roman" w:eastAsia="宋体" w:hAnsi="Times New Roman" w:hint="eastAsia"/>
          <w:color w:val="auto"/>
          <w:kern w:val="0"/>
          <w:szCs w:val="24"/>
        </w:rPr>
        <w:t>日，</w:t>
      </w:r>
      <w:r>
        <w:rPr>
          <w:rFonts w:ascii="Times New Roman" w:eastAsia="宋体" w:hAnsi="Times New Roman" w:hint="eastAsia"/>
          <w:color w:val="auto"/>
          <w:kern w:val="0"/>
          <w:szCs w:val="24"/>
        </w:rPr>
        <w:t>按照证监会统一部署，</w:t>
      </w:r>
      <w:r>
        <w:rPr>
          <w:rFonts w:ascii="Times New Roman" w:eastAsia="宋体" w:hAnsi="Times New Roman" w:hint="eastAsia"/>
          <w:color w:val="auto"/>
          <w:kern w:val="0"/>
          <w:szCs w:val="24"/>
        </w:rPr>
        <w:t>深交所发布了</w:t>
      </w:r>
      <w:r>
        <w:rPr>
          <w:rFonts w:ascii="Times New Roman" w:eastAsia="宋体" w:hAnsi="Times New Roman" w:hint="eastAsia"/>
          <w:color w:val="auto"/>
          <w:kern w:val="0"/>
          <w:szCs w:val="24"/>
        </w:rPr>
        <w:t>30</w:t>
      </w:r>
      <w:r>
        <w:rPr>
          <w:rFonts w:ascii="Times New Roman" w:eastAsia="宋体" w:hAnsi="Times New Roman" w:hint="eastAsia"/>
          <w:color w:val="auto"/>
          <w:kern w:val="0"/>
          <w:szCs w:val="24"/>
        </w:rPr>
        <w:t>部与全面实行股票发行注册制相配套的业务规则及指南，包括</w:t>
      </w:r>
      <w:r>
        <w:rPr>
          <w:rFonts w:ascii="Times New Roman" w:eastAsia="宋体" w:hAnsi="Times New Roman" w:hint="eastAsia"/>
          <w:color w:val="auto"/>
          <w:kern w:val="0"/>
          <w:szCs w:val="24"/>
        </w:rPr>
        <w:t>《深圳证券</w:t>
      </w:r>
      <w:r>
        <w:rPr>
          <w:rFonts w:ascii="Times New Roman" w:eastAsia="宋体" w:hAnsi="Times New Roman" w:hint="eastAsia"/>
          <w:color w:val="auto"/>
          <w:kern w:val="0"/>
          <w:szCs w:val="24"/>
        </w:rPr>
        <w:t>交易所股票发行上市审核规则》（深证上〔</w:t>
      </w:r>
      <w:r>
        <w:rPr>
          <w:rFonts w:ascii="Times New Roman" w:eastAsia="宋体" w:hAnsi="Times New Roman" w:hint="eastAsia"/>
          <w:color w:val="auto"/>
          <w:kern w:val="0"/>
          <w:szCs w:val="24"/>
        </w:rPr>
        <w:t>2023</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rPr>
        <w:t>94</w:t>
      </w:r>
      <w:r>
        <w:rPr>
          <w:rFonts w:ascii="Times New Roman" w:eastAsia="宋体" w:hAnsi="Times New Roman" w:hint="eastAsia"/>
          <w:color w:val="auto"/>
          <w:kern w:val="0"/>
          <w:szCs w:val="24"/>
        </w:rPr>
        <w:t>号）</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rPr>
        <w:t>《深圳证券交易所上市公司证券发行上市审核规则》（深证上〔</w:t>
      </w:r>
      <w:r>
        <w:rPr>
          <w:rFonts w:ascii="Times New Roman" w:eastAsia="宋体" w:hAnsi="Times New Roman" w:hint="eastAsia"/>
          <w:color w:val="auto"/>
          <w:kern w:val="0"/>
          <w:szCs w:val="24"/>
        </w:rPr>
        <w:t>2023</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rPr>
        <w:t>95</w:t>
      </w:r>
      <w:r>
        <w:rPr>
          <w:rFonts w:ascii="Times New Roman" w:eastAsia="宋体" w:hAnsi="Times New Roman" w:hint="eastAsia"/>
          <w:color w:val="auto"/>
          <w:kern w:val="0"/>
          <w:szCs w:val="24"/>
        </w:rPr>
        <w:t>号）、</w:t>
      </w:r>
      <w:r>
        <w:rPr>
          <w:rFonts w:ascii="Times New Roman" w:eastAsia="宋体" w:hAnsi="Times New Roman" w:hint="eastAsia"/>
          <w:color w:val="auto"/>
          <w:kern w:val="0"/>
          <w:szCs w:val="24"/>
        </w:rPr>
        <w:t>《深圳证券交易所上市公司重大资产重组审核规则》</w:t>
      </w:r>
      <w:r>
        <w:rPr>
          <w:rFonts w:ascii="Times New Roman" w:eastAsia="宋体" w:hAnsi="Times New Roman" w:hint="eastAsia"/>
          <w:color w:val="auto"/>
          <w:kern w:val="0"/>
          <w:szCs w:val="24"/>
        </w:rPr>
        <w:t>（深证上〔</w:t>
      </w:r>
      <w:r>
        <w:rPr>
          <w:rFonts w:ascii="Times New Roman" w:eastAsia="宋体" w:hAnsi="Times New Roman" w:hint="eastAsia"/>
          <w:color w:val="auto"/>
          <w:kern w:val="0"/>
          <w:szCs w:val="24"/>
        </w:rPr>
        <w:t>2023</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rPr>
        <w:t>96</w:t>
      </w:r>
      <w:r>
        <w:rPr>
          <w:rFonts w:ascii="Times New Roman" w:eastAsia="宋体" w:hAnsi="Times New Roman" w:hint="eastAsia"/>
          <w:color w:val="auto"/>
          <w:kern w:val="0"/>
          <w:szCs w:val="24"/>
        </w:rPr>
        <w:t>号）等</w:t>
      </w:r>
      <w:r>
        <w:rPr>
          <w:rFonts w:ascii="Times New Roman" w:eastAsia="宋体" w:hAnsi="Times New Roman" w:hint="eastAsia"/>
          <w:color w:val="auto"/>
          <w:kern w:val="0"/>
          <w:szCs w:val="24"/>
        </w:rPr>
        <w:t>16</w:t>
      </w:r>
      <w:r>
        <w:rPr>
          <w:rFonts w:ascii="Times New Roman" w:eastAsia="宋体" w:hAnsi="Times New Roman" w:hint="eastAsia"/>
          <w:color w:val="auto"/>
          <w:kern w:val="0"/>
          <w:szCs w:val="24"/>
        </w:rPr>
        <w:t>部业务规则以及</w:t>
      </w:r>
      <w:r>
        <w:rPr>
          <w:rFonts w:ascii="Times New Roman" w:eastAsia="宋体" w:hAnsi="Times New Roman" w:hint="eastAsia"/>
          <w:color w:val="auto"/>
          <w:kern w:val="0"/>
          <w:szCs w:val="24"/>
        </w:rPr>
        <w:t>11</w:t>
      </w:r>
      <w:r>
        <w:rPr>
          <w:rFonts w:ascii="Times New Roman" w:eastAsia="宋体" w:hAnsi="Times New Roman" w:hint="eastAsia"/>
          <w:color w:val="auto"/>
          <w:kern w:val="0"/>
          <w:szCs w:val="24"/>
        </w:rPr>
        <w:t>部业务细则和</w:t>
      </w:r>
      <w:r>
        <w:rPr>
          <w:rFonts w:ascii="Times New Roman" w:eastAsia="宋体" w:hAnsi="Times New Roman" w:hint="eastAsia"/>
          <w:color w:val="auto"/>
          <w:kern w:val="0"/>
          <w:szCs w:val="24"/>
        </w:rPr>
        <w:t>3</w:t>
      </w:r>
      <w:r>
        <w:rPr>
          <w:rFonts w:ascii="Times New Roman" w:eastAsia="宋体" w:hAnsi="Times New Roman" w:hint="eastAsia"/>
          <w:color w:val="auto"/>
          <w:kern w:val="0"/>
          <w:szCs w:val="24"/>
        </w:rPr>
        <w:t>部业务指南，均自公布之日起施行。</w:t>
      </w:r>
    </w:p>
    <w:p w:rsidR="005B7551" w:rsidRDefault="00252D0C" w:rsidP="000334EE">
      <w:pPr>
        <w:widowControl/>
        <w:numPr>
          <w:ilvl w:val="255"/>
          <w:numId w:val="0"/>
        </w:numPr>
        <w:tabs>
          <w:tab w:val="left" w:pos="426"/>
        </w:tabs>
        <w:adjustRightInd w:val="0"/>
        <w:snapToGrid w:val="0"/>
        <w:spacing w:afterLines="50" w:line="360" w:lineRule="auto"/>
        <w:ind w:firstLineChars="200" w:firstLine="480"/>
        <w:rPr>
          <w:rFonts w:ascii="宋体" w:eastAsia="宋体" w:cs="宋体"/>
          <w:szCs w:val="24"/>
          <w:lang/>
        </w:rPr>
      </w:pPr>
      <w:r>
        <w:rPr>
          <w:rFonts w:ascii="宋体" w:eastAsia="宋体" w:cs="宋体" w:hint="eastAsia"/>
          <w:szCs w:val="24"/>
          <w:lang/>
        </w:rPr>
        <w:t>本次</w:t>
      </w:r>
      <w:r>
        <w:rPr>
          <w:rFonts w:ascii="宋体" w:eastAsia="宋体" w:cs="宋体" w:hint="eastAsia"/>
          <w:szCs w:val="24"/>
        </w:rPr>
        <w:t>深交所发布的业务规则着重明确发行上市审核、发行承销、持续监管、交易等环节需要细化的相关制度安排，以强化规则协同性和可操作性，完善更加清晰、简明、友好的规则体系，夯实全面实行注册制改革平稳落地的制度基础。</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szCs w:val="24"/>
        </w:rPr>
      </w:pPr>
      <w:r>
        <w:rPr>
          <w:rFonts w:ascii="Times New Roman" w:eastAsia="宋体" w:hAnsi="Times New Roman" w:hint="eastAsia"/>
          <w:color w:val="auto"/>
          <w:szCs w:val="24"/>
        </w:rPr>
        <w:t>2</w:t>
      </w:r>
      <w:r>
        <w:rPr>
          <w:rFonts w:ascii="Times New Roman" w:eastAsia="宋体" w:hAnsi="Times New Roman" w:hint="eastAsia"/>
          <w:color w:val="auto"/>
          <w:szCs w:val="24"/>
        </w:rPr>
        <w:t>月</w:t>
      </w:r>
      <w:r>
        <w:rPr>
          <w:rFonts w:ascii="Times New Roman" w:eastAsia="宋体" w:hAnsi="Times New Roman" w:hint="eastAsia"/>
          <w:color w:val="auto"/>
          <w:szCs w:val="24"/>
        </w:rPr>
        <w:t>17</w:t>
      </w:r>
      <w:r>
        <w:rPr>
          <w:rFonts w:ascii="Times New Roman" w:eastAsia="宋体" w:hAnsi="Times New Roman" w:hint="eastAsia"/>
          <w:color w:val="auto"/>
          <w:szCs w:val="24"/>
        </w:rPr>
        <w:t>日，按照证监会统一部署，北京证券交易所（以下简称北交所）正式发布了</w:t>
      </w:r>
      <w:r>
        <w:rPr>
          <w:rFonts w:ascii="Times New Roman" w:eastAsia="宋体" w:hAnsi="Times New Roman" w:hint="eastAsia"/>
          <w:color w:val="auto"/>
          <w:szCs w:val="24"/>
        </w:rPr>
        <w:t>18</w:t>
      </w:r>
      <w:r>
        <w:rPr>
          <w:rFonts w:ascii="Times New Roman" w:eastAsia="宋体" w:hAnsi="Times New Roman" w:hint="eastAsia"/>
          <w:color w:val="auto"/>
          <w:szCs w:val="24"/>
        </w:rPr>
        <w:t>部配套制度规则</w:t>
      </w:r>
      <w:r>
        <w:rPr>
          <w:rFonts w:ascii="Times New Roman" w:eastAsia="宋体" w:hAnsi="Times New Roman"/>
          <w:color w:val="auto"/>
          <w:szCs w:val="24"/>
        </w:rPr>
        <w:t>，</w:t>
      </w:r>
      <w:r>
        <w:rPr>
          <w:rFonts w:ascii="Times New Roman" w:eastAsia="宋体" w:hAnsi="Times New Roman" w:hint="eastAsia"/>
          <w:color w:val="auto"/>
          <w:szCs w:val="24"/>
          <w:lang/>
        </w:rPr>
        <w:t>包括</w:t>
      </w:r>
      <w:r>
        <w:rPr>
          <w:rFonts w:ascii="Times New Roman" w:eastAsia="宋体" w:hAnsi="Times New Roman" w:hint="eastAsia"/>
          <w:color w:val="auto"/>
          <w:szCs w:val="24"/>
        </w:rPr>
        <w:t>《北京证券交易所向不特定合格投资者公开发行并上市审核规则》</w:t>
      </w:r>
      <w:r>
        <w:rPr>
          <w:rFonts w:ascii="Times New Roman" w:eastAsia="宋体" w:hAnsi="Times New Roman" w:hint="eastAsia"/>
          <w:color w:val="auto"/>
          <w:kern w:val="0"/>
          <w:szCs w:val="24"/>
        </w:rPr>
        <w:t>（</w:t>
      </w:r>
      <w:r>
        <w:rPr>
          <w:rFonts w:ascii="Times New Roman" w:eastAsia="宋体" w:hAnsi="Times New Roman" w:hint="eastAsia"/>
          <w:color w:val="auto"/>
          <w:szCs w:val="24"/>
        </w:rPr>
        <w:t>北证公告〔</w:t>
      </w:r>
      <w:r>
        <w:rPr>
          <w:rFonts w:ascii="Times New Roman" w:eastAsia="宋体" w:hAnsi="Times New Roman" w:hint="eastAsia"/>
          <w:color w:val="auto"/>
          <w:szCs w:val="24"/>
        </w:rPr>
        <w:t>2023</w:t>
      </w:r>
      <w:r>
        <w:rPr>
          <w:rFonts w:ascii="Times New Roman" w:eastAsia="宋体" w:hAnsi="Times New Roman" w:hint="eastAsia"/>
          <w:color w:val="auto"/>
          <w:szCs w:val="24"/>
        </w:rPr>
        <w:t>〕</w:t>
      </w:r>
      <w:r>
        <w:rPr>
          <w:rFonts w:ascii="Times New Roman" w:eastAsia="宋体" w:hAnsi="Times New Roman" w:hint="eastAsia"/>
          <w:color w:val="auto"/>
          <w:szCs w:val="24"/>
        </w:rPr>
        <w:t>10</w:t>
      </w:r>
      <w:r>
        <w:rPr>
          <w:rFonts w:ascii="Times New Roman" w:eastAsia="宋体" w:hAnsi="Times New Roman" w:hint="eastAsia"/>
          <w:color w:val="auto"/>
          <w:szCs w:val="24"/>
        </w:rPr>
        <w:t>号）</w:t>
      </w:r>
      <w:r>
        <w:rPr>
          <w:rFonts w:ascii="Times New Roman" w:eastAsia="宋体" w:hAnsi="Times New Roman"/>
          <w:color w:val="auto"/>
          <w:szCs w:val="24"/>
        </w:rPr>
        <w:t>、</w:t>
      </w:r>
      <w:r>
        <w:rPr>
          <w:rFonts w:ascii="Times New Roman" w:eastAsia="宋体" w:hAnsi="Times New Roman" w:hint="eastAsia"/>
          <w:color w:val="auto"/>
          <w:szCs w:val="24"/>
        </w:rPr>
        <w:t>《北京证券交易所上市公司证券发行上市审核规则》</w:t>
      </w:r>
      <w:r>
        <w:rPr>
          <w:rFonts w:ascii="Times New Roman" w:eastAsia="宋体" w:hAnsi="Times New Roman" w:hint="eastAsia"/>
          <w:color w:val="auto"/>
          <w:kern w:val="0"/>
          <w:szCs w:val="24"/>
        </w:rPr>
        <w:t>（北证公告〔</w:t>
      </w:r>
      <w:r>
        <w:rPr>
          <w:rFonts w:ascii="Times New Roman" w:eastAsia="宋体" w:hAnsi="Times New Roman" w:hint="eastAsia"/>
          <w:color w:val="auto"/>
          <w:kern w:val="0"/>
          <w:szCs w:val="24"/>
        </w:rPr>
        <w:t>2023</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rPr>
        <w:t>11</w:t>
      </w:r>
      <w:r>
        <w:rPr>
          <w:rFonts w:ascii="Times New Roman" w:eastAsia="宋体" w:hAnsi="Times New Roman" w:hint="eastAsia"/>
          <w:color w:val="auto"/>
          <w:kern w:val="0"/>
          <w:szCs w:val="24"/>
        </w:rPr>
        <w:t>号）</w:t>
      </w:r>
      <w:r>
        <w:rPr>
          <w:rFonts w:ascii="Times New Roman" w:eastAsia="宋体" w:hAnsi="Times New Roman"/>
          <w:color w:val="auto"/>
          <w:kern w:val="0"/>
          <w:szCs w:val="24"/>
        </w:rPr>
        <w:t>、</w:t>
      </w:r>
      <w:r>
        <w:rPr>
          <w:rFonts w:ascii="Times New Roman" w:eastAsia="宋体" w:hAnsi="Times New Roman" w:hint="eastAsia"/>
          <w:color w:val="auto"/>
          <w:szCs w:val="24"/>
        </w:rPr>
        <w:t>《北京证券交易所上市公司重大资产重组审核规则》</w:t>
      </w:r>
      <w:r>
        <w:rPr>
          <w:rFonts w:ascii="Times New Roman" w:eastAsia="宋体" w:hAnsi="Times New Roman" w:hint="eastAsia"/>
          <w:color w:val="auto"/>
          <w:kern w:val="0"/>
          <w:szCs w:val="24"/>
        </w:rPr>
        <w:t>（北证公告〔</w:t>
      </w:r>
      <w:r>
        <w:rPr>
          <w:rFonts w:ascii="Times New Roman" w:eastAsia="宋体" w:hAnsi="Times New Roman" w:hint="eastAsia"/>
          <w:color w:val="auto"/>
          <w:kern w:val="0"/>
          <w:szCs w:val="24"/>
        </w:rPr>
        <w:t>2023</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rPr>
        <w:t>12</w:t>
      </w:r>
      <w:r>
        <w:rPr>
          <w:rFonts w:ascii="Times New Roman" w:eastAsia="宋体" w:hAnsi="Times New Roman" w:hint="eastAsia"/>
          <w:color w:val="auto"/>
          <w:kern w:val="0"/>
          <w:szCs w:val="24"/>
        </w:rPr>
        <w:t>号）</w:t>
      </w:r>
      <w:r>
        <w:rPr>
          <w:rFonts w:ascii="Times New Roman" w:eastAsia="宋体" w:hAnsi="Times New Roman" w:hint="eastAsia"/>
          <w:color w:val="auto"/>
          <w:szCs w:val="24"/>
        </w:rPr>
        <w:t>3</w:t>
      </w:r>
      <w:r>
        <w:rPr>
          <w:rFonts w:ascii="Times New Roman" w:eastAsia="宋体" w:hAnsi="Times New Roman" w:hint="eastAsia"/>
          <w:color w:val="auto"/>
          <w:szCs w:val="24"/>
        </w:rPr>
        <w:t>部业务规则</w:t>
      </w:r>
      <w:r>
        <w:rPr>
          <w:rFonts w:ascii="Times New Roman" w:eastAsia="宋体" w:hAnsi="Times New Roman" w:hint="eastAsia"/>
          <w:color w:val="auto"/>
          <w:szCs w:val="24"/>
          <w:lang/>
        </w:rPr>
        <w:t>以及</w:t>
      </w:r>
      <w:r>
        <w:rPr>
          <w:rFonts w:ascii="Times New Roman" w:eastAsia="宋体" w:hAnsi="Times New Roman" w:hint="eastAsia"/>
          <w:color w:val="auto"/>
          <w:szCs w:val="24"/>
        </w:rPr>
        <w:t>15</w:t>
      </w:r>
      <w:r>
        <w:rPr>
          <w:rFonts w:ascii="Times New Roman" w:eastAsia="宋体" w:hAnsi="Times New Roman" w:hint="eastAsia"/>
          <w:color w:val="auto"/>
          <w:szCs w:val="24"/>
        </w:rPr>
        <w:t>部细则、指引及指南</w:t>
      </w:r>
      <w:r>
        <w:rPr>
          <w:rFonts w:ascii="Times New Roman" w:eastAsia="宋体" w:hAnsi="Times New Roman"/>
          <w:color w:val="auto"/>
          <w:szCs w:val="24"/>
        </w:rPr>
        <w:t>，</w:t>
      </w:r>
      <w:r>
        <w:rPr>
          <w:rFonts w:ascii="Times New Roman" w:eastAsia="宋体" w:hAnsi="Times New Roman" w:hint="eastAsia"/>
          <w:color w:val="auto"/>
          <w:szCs w:val="24"/>
          <w:lang/>
        </w:rPr>
        <w:t>均</w:t>
      </w:r>
      <w:r>
        <w:rPr>
          <w:rFonts w:ascii="Times New Roman" w:eastAsia="宋体" w:hAnsi="Times New Roman" w:hint="eastAsia"/>
          <w:color w:val="auto"/>
          <w:szCs w:val="24"/>
        </w:rPr>
        <w:t>自公布之日起施行。</w:t>
      </w:r>
    </w:p>
    <w:p w:rsidR="005B7551" w:rsidRDefault="00252D0C" w:rsidP="000334EE">
      <w:pPr>
        <w:widowControl/>
        <w:numPr>
          <w:ilvl w:val="255"/>
          <w:numId w:val="0"/>
        </w:numPr>
        <w:tabs>
          <w:tab w:val="left" w:pos="426"/>
        </w:tabs>
        <w:adjustRightInd w:val="0"/>
        <w:snapToGrid w:val="0"/>
        <w:spacing w:afterLines="50" w:line="360" w:lineRule="auto"/>
        <w:ind w:firstLineChars="200" w:firstLine="480"/>
        <w:rPr>
          <w:rFonts w:ascii="宋体" w:eastAsia="宋体" w:cs="宋体"/>
          <w:szCs w:val="24"/>
          <w:lang/>
        </w:rPr>
      </w:pPr>
      <w:r>
        <w:rPr>
          <w:rFonts w:ascii="Times New Roman" w:eastAsia="宋体" w:hAnsi="Times New Roman" w:hint="eastAsia"/>
          <w:color w:val="auto"/>
          <w:szCs w:val="24"/>
        </w:rPr>
        <w:lastRenderedPageBreak/>
        <w:t>本次北交所</w:t>
      </w:r>
      <w:r>
        <w:rPr>
          <w:rFonts w:ascii="Times New Roman" w:eastAsia="宋体" w:hAnsi="Times New Roman" w:hint="eastAsia"/>
          <w:color w:val="auto"/>
          <w:szCs w:val="24"/>
          <w:lang/>
        </w:rPr>
        <w:t>发布的</w:t>
      </w:r>
      <w:r>
        <w:rPr>
          <w:rFonts w:ascii="Times New Roman" w:eastAsia="宋体" w:hAnsi="Times New Roman" w:hint="eastAsia"/>
          <w:color w:val="auto"/>
          <w:szCs w:val="24"/>
        </w:rPr>
        <w:t>业务规则</w:t>
      </w:r>
      <w:r>
        <w:rPr>
          <w:rFonts w:ascii="宋体" w:eastAsia="宋体" w:cs="宋体" w:hint="eastAsia"/>
          <w:szCs w:val="24"/>
          <w:lang/>
        </w:rPr>
        <w:t>涵盖了发行上市、再融资、并购重组、行业咨询委员会等方面，主要是与上位规章、规范性文件</w:t>
      </w:r>
      <w:r>
        <w:rPr>
          <w:rFonts w:ascii="宋体" w:eastAsia="宋体" w:cs="宋体" w:hint="eastAsia"/>
          <w:szCs w:val="24"/>
          <w:lang/>
        </w:rPr>
        <w:t>以及业务规则做好配套衔接。</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szCs w:val="24"/>
        </w:rPr>
      </w:pPr>
      <w:r>
        <w:rPr>
          <w:rFonts w:ascii="Times New Roman" w:eastAsia="宋体" w:hAnsi="Times New Roman" w:hint="eastAsia"/>
          <w:color w:val="auto"/>
          <w:szCs w:val="24"/>
        </w:rPr>
        <w:t>2</w:t>
      </w:r>
      <w:r>
        <w:rPr>
          <w:rFonts w:ascii="Times New Roman" w:eastAsia="宋体" w:hAnsi="Times New Roman" w:hint="eastAsia"/>
          <w:color w:val="auto"/>
          <w:szCs w:val="24"/>
        </w:rPr>
        <w:t>月</w:t>
      </w:r>
      <w:r>
        <w:rPr>
          <w:rFonts w:ascii="Times New Roman" w:eastAsia="宋体" w:hAnsi="Times New Roman" w:hint="eastAsia"/>
          <w:color w:val="auto"/>
          <w:szCs w:val="24"/>
        </w:rPr>
        <w:t>17</w:t>
      </w:r>
      <w:r>
        <w:rPr>
          <w:rFonts w:ascii="Times New Roman" w:eastAsia="宋体" w:hAnsi="Times New Roman" w:hint="eastAsia"/>
          <w:color w:val="auto"/>
          <w:szCs w:val="24"/>
        </w:rPr>
        <w:t>日，按照证监会统一部署</w:t>
      </w:r>
      <w:r>
        <w:rPr>
          <w:rFonts w:ascii="Times New Roman" w:eastAsia="宋体" w:hAnsi="Times New Roman"/>
          <w:color w:val="auto"/>
          <w:kern w:val="0"/>
          <w:szCs w:val="24"/>
        </w:rPr>
        <w:t>，</w:t>
      </w:r>
      <w:r>
        <w:rPr>
          <w:rFonts w:ascii="Times New Roman" w:eastAsia="宋体" w:hAnsi="Times New Roman" w:hint="eastAsia"/>
          <w:color w:val="auto"/>
          <w:szCs w:val="24"/>
        </w:rPr>
        <w:t>全国股转公司正式发布</w:t>
      </w:r>
      <w:r>
        <w:rPr>
          <w:rFonts w:ascii="Times New Roman" w:eastAsia="宋体" w:hAnsi="Times New Roman" w:hint="eastAsia"/>
          <w:color w:val="auto"/>
          <w:szCs w:val="24"/>
          <w:lang/>
        </w:rPr>
        <w:t>了</w:t>
      </w:r>
      <w:r>
        <w:rPr>
          <w:rFonts w:ascii="Times New Roman" w:eastAsia="宋体" w:hAnsi="Times New Roman"/>
          <w:color w:val="auto"/>
          <w:szCs w:val="24"/>
          <w:lang/>
        </w:rPr>
        <w:t>23</w:t>
      </w:r>
      <w:r>
        <w:rPr>
          <w:rFonts w:ascii="Times New Roman" w:eastAsia="宋体" w:hAnsi="Times New Roman" w:hint="eastAsia"/>
          <w:color w:val="auto"/>
          <w:szCs w:val="24"/>
          <w:lang/>
        </w:rPr>
        <w:t>部</w:t>
      </w:r>
      <w:r>
        <w:rPr>
          <w:rFonts w:ascii="Times New Roman" w:eastAsia="宋体" w:hAnsi="Times New Roman" w:hint="eastAsia"/>
          <w:color w:val="auto"/>
          <w:szCs w:val="24"/>
        </w:rPr>
        <w:t>业务规则和配套细则、指引及指南</w:t>
      </w:r>
      <w:r>
        <w:rPr>
          <w:rFonts w:ascii="Times New Roman" w:eastAsia="宋体" w:hAnsi="Times New Roman"/>
          <w:color w:val="auto"/>
          <w:szCs w:val="24"/>
        </w:rPr>
        <w:t>，</w:t>
      </w:r>
      <w:r>
        <w:rPr>
          <w:rFonts w:ascii="Times New Roman" w:eastAsia="宋体" w:hAnsi="Times New Roman" w:hint="eastAsia"/>
          <w:color w:val="auto"/>
          <w:szCs w:val="24"/>
          <w:lang/>
        </w:rPr>
        <w:t>包括</w:t>
      </w:r>
      <w:r>
        <w:rPr>
          <w:rFonts w:ascii="Times New Roman" w:eastAsia="宋体" w:hAnsi="Times New Roman" w:hint="eastAsia"/>
          <w:color w:val="auto"/>
          <w:szCs w:val="24"/>
        </w:rPr>
        <w:t>《全国中小企业股份转让系统股票挂牌规则》（股转公告〔</w:t>
      </w:r>
      <w:r>
        <w:rPr>
          <w:rFonts w:ascii="Times New Roman" w:eastAsia="宋体" w:hAnsi="Times New Roman" w:hint="eastAsia"/>
          <w:color w:val="auto"/>
          <w:szCs w:val="24"/>
        </w:rPr>
        <w:t>2023</w:t>
      </w:r>
      <w:r>
        <w:rPr>
          <w:rFonts w:ascii="Times New Roman" w:eastAsia="宋体" w:hAnsi="Times New Roman" w:hint="eastAsia"/>
          <w:color w:val="auto"/>
          <w:szCs w:val="24"/>
        </w:rPr>
        <w:t>〕</w:t>
      </w:r>
      <w:r>
        <w:rPr>
          <w:rFonts w:ascii="Times New Roman" w:eastAsia="宋体" w:hAnsi="Times New Roman" w:hint="eastAsia"/>
          <w:color w:val="auto"/>
          <w:szCs w:val="24"/>
        </w:rPr>
        <w:t>34</w:t>
      </w:r>
      <w:r>
        <w:rPr>
          <w:rFonts w:ascii="Times New Roman" w:eastAsia="宋体" w:hAnsi="Times New Roman" w:hint="eastAsia"/>
          <w:color w:val="auto"/>
          <w:szCs w:val="24"/>
        </w:rPr>
        <w:t>号</w:t>
      </w:r>
      <w:r>
        <w:rPr>
          <w:rFonts w:ascii="Times New Roman" w:eastAsia="宋体" w:hAnsi="Times New Roman"/>
          <w:color w:val="auto"/>
          <w:szCs w:val="24"/>
        </w:rPr>
        <w:t>，</w:t>
      </w:r>
      <w:r>
        <w:rPr>
          <w:rFonts w:ascii="Times New Roman" w:eastAsia="宋体" w:hAnsi="Times New Roman" w:hint="eastAsia"/>
          <w:color w:val="auto"/>
          <w:szCs w:val="24"/>
          <w:lang/>
        </w:rPr>
        <w:t>以下简称</w:t>
      </w:r>
      <w:r>
        <w:rPr>
          <w:rFonts w:ascii="Times New Roman" w:eastAsia="宋体" w:hAnsi="Times New Roman"/>
          <w:color w:val="auto"/>
          <w:szCs w:val="24"/>
          <w:lang/>
        </w:rPr>
        <w:t>《</w:t>
      </w:r>
      <w:r>
        <w:rPr>
          <w:rFonts w:ascii="Times New Roman" w:eastAsia="宋体" w:hAnsi="Times New Roman" w:hint="eastAsia"/>
          <w:color w:val="auto"/>
          <w:szCs w:val="24"/>
          <w:lang/>
        </w:rPr>
        <w:t>股票挂牌规则</w:t>
      </w:r>
      <w:r>
        <w:rPr>
          <w:rFonts w:ascii="Times New Roman" w:eastAsia="宋体" w:hAnsi="Times New Roman"/>
          <w:color w:val="auto"/>
          <w:szCs w:val="24"/>
          <w:lang/>
        </w:rPr>
        <w:t>》</w:t>
      </w:r>
      <w:r>
        <w:rPr>
          <w:rFonts w:ascii="Times New Roman" w:eastAsia="宋体" w:hAnsi="Times New Roman" w:hint="eastAsia"/>
          <w:color w:val="auto"/>
          <w:szCs w:val="24"/>
        </w:rPr>
        <w:t>）</w:t>
      </w:r>
      <w:r>
        <w:rPr>
          <w:rFonts w:ascii="Times New Roman" w:eastAsia="宋体" w:hAnsi="Times New Roman"/>
          <w:color w:val="auto"/>
          <w:szCs w:val="24"/>
        </w:rPr>
        <w:t>、</w:t>
      </w:r>
      <w:r>
        <w:rPr>
          <w:rFonts w:ascii="Times New Roman" w:eastAsia="宋体" w:hAnsi="Times New Roman" w:hint="eastAsia"/>
          <w:color w:val="auto"/>
          <w:szCs w:val="24"/>
        </w:rPr>
        <w:t>《全国中小企业股份转让系统股票定向发行规则》（股转公告〔</w:t>
      </w:r>
      <w:r>
        <w:rPr>
          <w:rFonts w:ascii="Times New Roman" w:eastAsia="宋体" w:hAnsi="Times New Roman" w:hint="eastAsia"/>
          <w:color w:val="auto"/>
          <w:szCs w:val="24"/>
        </w:rPr>
        <w:t>2023</w:t>
      </w:r>
      <w:r>
        <w:rPr>
          <w:rFonts w:ascii="Times New Roman" w:eastAsia="宋体" w:hAnsi="Times New Roman" w:hint="eastAsia"/>
          <w:color w:val="auto"/>
          <w:szCs w:val="24"/>
        </w:rPr>
        <w:t>〕</w:t>
      </w:r>
      <w:r>
        <w:rPr>
          <w:rFonts w:ascii="Times New Roman" w:eastAsia="宋体" w:hAnsi="Times New Roman" w:hint="eastAsia"/>
          <w:color w:val="auto"/>
          <w:szCs w:val="24"/>
        </w:rPr>
        <w:t>40</w:t>
      </w:r>
      <w:r>
        <w:rPr>
          <w:rFonts w:ascii="Times New Roman" w:eastAsia="宋体" w:hAnsi="Times New Roman" w:hint="eastAsia"/>
          <w:color w:val="auto"/>
          <w:szCs w:val="24"/>
        </w:rPr>
        <w:t>号</w:t>
      </w:r>
      <w:r>
        <w:rPr>
          <w:rFonts w:ascii="Times New Roman" w:eastAsia="宋体" w:hAnsi="Times New Roman"/>
          <w:color w:val="auto"/>
          <w:szCs w:val="24"/>
        </w:rPr>
        <w:t>，</w:t>
      </w:r>
      <w:r>
        <w:rPr>
          <w:rFonts w:ascii="Times New Roman" w:eastAsia="宋体" w:hAnsi="Times New Roman" w:hint="eastAsia"/>
          <w:color w:val="auto"/>
          <w:szCs w:val="24"/>
          <w:lang/>
        </w:rPr>
        <w:t>以下简称</w:t>
      </w:r>
      <w:r>
        <w:rPr>
          <w:rFonts w:ascii="宋体" w:eastAsia="宋体" w:cs="宋体" w:hint="eastAsia"/>
          <w:szCs w:val="24"/>
          <w:lang/>
        </w:rPr>
        <w:t>《定向发行规则》</w:t>
      </w:r>
      <w:r>
        <w:rPr>
          <w:rFonts w:ascii="Times New Roman" w:eastAsia="宋体" w:hAnsi="Times New Roman" w:hint="eastAsia"/>
          <w:color w:val="auto"/>
          <w:szCs w:val="24"/>
        </w:rPr>
        <w:t>）</w:t>
      </w:r>
      <w:r>
        <w:rPr>
          <w:rFonts w:ascii="Times New Roman" w:eastAsia="宋体" w:hAnsi="Times New Roman" w:hint="eastAsia"/>
          <w:color w:val="auto"/>
          <w:szCs w:val="24"/>
        </w:rPr>
        <w:t>2</w:t>
      </w:r>
      <w:r>
        <w:rPr>
          <w:rFonts w:ascii="Times New Roman" w:eastAsia="宋体" w:hAnsi="Times New Roman" w:hint="eastAsia"/>
          <w:color w:val="auto"/>
          <w:szCs w:val="24"/>
        </w:rPr>
        <w:t>部业务规则和</w:t>
      </w:r>
      <w:r>
        <w:rPr>
          <w:rFonts w:ascii="Times New Roman" w:eastAsia="宋体" w:hAnsi="Times New Roman" w:hint="eastAsia"/>
          <w:color w:val="auto"/>
          <w:szCs w:val="24"/>
        </w:rPr>
        <w:t>21</w:t>
      </w:r>
      <w:r>
        <w:rPr>
          <w:rFonts w:ascii="Times New Roman" w:eastAsia="宋体" w:hAnsi="Times New Roman" w:hint="eastAsia"/>
          <w:color w:val="auto"/>
          <w:szCs w:val="24"/>
        </w:rPr>
        <w:t>部配套细则、指引及指南</w:t>
      </w:r>
      <w:r>
        <w:rPr>
          <w:rFonts w:ascii="Times New Roman" w:eastAsia="宋体" w:hAnsi="Times New Roman"/>
          <w:color w:val="auto"/>
          <w:szCs w:val="24"/>
        </w:rPr>
        <w:t>，</w:t>
      </w:r>
      <w:r>
        <w:rPr>
          <w:rFonts w:ascii="Times New Roman" w:eastAsia="宋体" w:hAnsi="Times New Roman" w:hint="eastAsia"/>
          <w:color w:val="auto"/>
          <w:szCs w:val="24"/>
          <w:lang/>
        </w:rPr>
        <w:t>均</w:t>
      </w:r>
      <w:r>
        <w:rPr>
          <w:rFonts w:ascii="Times New Roman" w:eastAsia="宋体" w:hAnsi="Times New Roman" w:hint="eastAsia"/>
          <w:color w:val="auto"/>
          <w:szCs w:val="24"/>
        </w:rPr>
        <w:t>自公布之日起施行。</w:t>
      </w:r>
    </w:p>
    <w:p w:rsidR="005B7551" w:rsidRDefault="00252D0C" w:rsidP="000334EE">
      <w:pPr>
        <w:widowControl/>
        <w:numPr>
          <w:ilvl w:val="255"/>
          <w:numId w:val="0"/>
        </w:numPr>
        <w:tabs>
          <w:tab w:val="left" w:pos="426"/>
        </w:tabs>
        <w:adjustRightInd w:val="0"/>
        <w:snapToGrid w:val="0"/>
        <w:spacing w:afterLines="50" w:line="360" w:lineRule="auto"/>
        <w:ind w:firstLineChars="200" w:firstLine="480"/>
        <w:rPr>
          <w:rFonts w:ascii="Times New Roman" w:eastAsia="宋体" w:hAnsi="Times New Roman"/>
          <w:szCs w:val="24"/>
          <w:lang/>
        </w:rPr>
      </w:pPr>
      <w:r>
        <w:rPr>
          <w:rFonts w:ascii="Times New Roman" w:eastAsia="宋体" w:hAnsi="Times New Roman"/>
          <w:szCs w:val="24"/>
          <w:lang/>
        </w:rPr>
        <w:t>本次</w:t>
      </w:r>
      <w:r>
        <w:rPr>
          <w:rFonts w:ascii="Times New Roman" w:eastAsia="宋体" w:hAnsi="Times New Roman" w:hint="eastAsia"/>
          <w:szCs w:val="24"/>
        </w:rPr>
        <w:t>全国股转系统发布的业务</w:t>
      </w:r>
      <w:r>
        <w:rPr>
          <w:rFonts w:ascii="Times New Roman" w:eastAsia="宋体" w:hAnsi="Times New Roman"/>
          <w:szCs w:val="24"/>
          <w:lang/>
        </w:rPr>
        <w:t>规则对挂牌准入、发行融资制度进行了优化完善。其中，《股票挂牌规则》明确了全面实行注册制下的挂牌审核安排，优化了挂牌条件，构建了</w:t>
      </w:r>
      <w:r>
        <w:rPr>
          <w:rFonts w:ascii="Times New Roman" w:eastAsia="宋体" w:hAnsi="Times New Roman" w:hint="eastAsia"/>
          <w:szCs w:val="24"/>
          <w:lang/>
        </w:rPr>
        <w:t>“</w:t>
      </w:r>
      <w:r>
        <w:rPr>
          <w:rFonts w:ascii="Times New Roman" w:eastAsia="宋体" w:hAnsi="Times New Roman"/>
          <w:szCs w:val="24"/>
          <w:lang/>
        </w:rPr>
        <w:t>1+5</w:t>
      </w:r>
      <w:r>
        <w:rPr>
          <w:rFonts w:ascii="Times New Roman" w:eastAsia="宋体" w:hAnsi="Times New Roman" w:hint="eastAsia"/>
          <w:szCs w:val="24"/>
          <w:lang/>
        </w:rPr>
        <w:t>”</w:t>
      </w:r>
      <w:r>
        <w:rPr>
          <w:rFonts w:ascii="Times New Roman" w:eastAsia="宋体" w:hAnsi="Times New Roman"/>
          <w:szCs w:val="24"/>
          <w:lang/>
        </w:rPr>
        <w:t>的多元化财务标准体系。《定向发行规则》明确了全面实行注册制下的发行审核安排，拓展了授权发行适用范围，推出</w:t>
      </w:r>
      <w:r>
        <w:rPr>
          <w:rFonts w:ascii="Times New Roman" w:eastAsia="宋体" w:hAnsi="Times New Roman" w:hint="eastAsia"/>
          <w:szCs w:val="24"/>
          <w:lang/>
        </w:rPr>
        <w:t>“</w:t>
      </w:r>
      <w:r>
        <w:rPr>
          <w:rFonts w:ascii="Times New Roman" w:eastAsia="宋体" w:hAnsi="Times New Roman"/>
          <w:szCs w:val="24"/>
          <w:lang/>
        </w:rPr>
        <w:t>一次出函、分期发行</w:t>
      </w:r>
      <w:r>
        <w:rPr>
          <w:rFonts w:ascii="Times New Roman" w:eastAsia="宋体" w:hAnsi="Times New Roman" w:hint="eastAsia"/>
          <w:szCs w:val="24"/>
          <w:lang/>
        </w:rPr>
        <w:t>”</w:t>
      </w:r>
      <w:r>
        <w:rPr>
          <w:rFonts w:ascii="Times New Roman" w:eastAsia="宋体" w:hAnsi="Times New Roman"/>
          <w:szCs w:val="24"/>
          <w:lang/>
        </w:rPr>
        <w:t>制度，助力提高中小企业融资效率。</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jc w:val="left"/>
        <w:rPr>
          <w:rFonts w:ascii="Times New Roman" w:eastAsia="宋体" w:hAnsi="Times New Roman"/>
          <w:color w:val="auto"/>
          <w:szCs w:val="24"/>
        </w:rPr>
      </w:pPr>
      <w:r>
        <w:rPr>
          <w:rFonts w:ascii="Times New Roman" w:eastAsia="宋体" w:hAnsi="Times New Roman" w:hint="eastAsia"/>
          <w:color w:val="auto"/>
          <w:szCs w:val="24"/>
        </w:rPr>
        <w:t>2</w:t>
      </w:r>
      <w:r>
        <w:rPr>
          <w:rFonts w:ascii="Times New Roman" w:eastAsia="宋体" w:hAnsi="Times New Roman" w:hint="eastAsia"/>
          <w:color w:val="auto"/>
          <w:szCs w:val="24"/>
        </w:rPr>
        <w:t>月</w:t>
      </w:r>
      <w:r>
        <w:rPr>
          <w:rFonts w:ascii="Times New Roman" w:eastAsia="宋体" w:hAnsi="Times New Roman" w:hint="eastAsia"/>
          <w:color w:val="auto"/>
          <w:szCs w:val="24"/>
        </w:rPr>
        <w:t>17</w:t>
      </w:r>
      <w:r>
        <w:rPr>
          <w:rFonts w:ascii="Times New Roman" w:eastAsia="宋体" w:hAnsi="Times New Roman" w:hint="eastAsia"/>
          <w:color w:val="auto"/>
          <w:szCs w:val="24"/>
        </w:rPr>
        <w:t>日，证监会发布了</w:t>
      </w:r>
      <w:r>
        <w:rPr>
          <w:rFonts w:ascii="Times New Roman" w:eastAsia="宋体" w:hAnsi="Times New Roman" w:hint="eastAsia"/>
          <w:color w:val="auto"/>
          <w:szCs w:val="24"/>
        </w:rPr>
        <w:t>6</w:t>
      </w:r>
      <w:r>
        <w:rPr>
          <w:rFonts w:ascii="Times New Roman" w:eastAsia="宋体" w:hAnsi="Times New Roman" w:hint="eastAsia"/>
          <w:color w:val="auto"/>
          <w:szCs w:val="24"/>
        </w:rPr>
        <w:t>项境外上市备案管理相关制度规则，</w:t>
      </w:r>
      <w:r>
        <w:rPr>
          <w:rFonts w:ascii="Times New Roman" w:eastAsia="宋体" w:hAnsi="Times New Roman" w:hint="eastAsia"/>
          <w:color w:val="auto"/>
          <w:szCs w:val="24"/>
        </w:rPr>
        <w:t>包括《境内企业境外发行证券和上市管理试行办法》（</w:t>
      </w:r>
      <w:r>
        <w:rPr>
          <w:rFonts w:ascii="Times New Roman" w:eastAsia="宋体" w:hAnsi="Times New Roman" w:hint="eastAsia"/>
          <w:color w:val="auto"/>
          <w:szCs w:val="24"/>
        </w:rPr>
        <w:t>证监会公告</w:t>
      </w:r>
      <w:r>
        <w:rPr>
          <w:rFonts w:ascii="Times New Roman" w:eastAsia="宋体" w:hAnsi="Times New Roman"/>
          <w:szCs w:val="24"/>
          <w:lang/>
        </w:rPr>
        <w:t>〔</w:t>
      </w:r>
      <w:r>
        <w:rPr>
          <w:rFonts w:ascii="Times New Roman" w:eastAsia="宋体" w:hAnsi="Times New Roman"/>
          <w:szCs w:val="24"/>
          <w:lang/>
        </w:rPr>
        <w:t>20</w:t>
      </w:r>
      <w:r>
        <w:rPr>
          <w:rFonts w:ascii="Times New Roman" w:eastAsia="宋体" w:hAnsi="Times New Roman"/>
          <w:szCs w:val="24"/>
        </w:rPr>
        <w:t>23</w:t>
      </w:r>
      <w:r>
        <w:rPr>
          <w:rFonts w:ascii="Times New Roman" w:eastAsia="宋体" w:hAnsi="Times New Roman"/>
          <w:szCs w:val="24"/>
          <w:lang/>
        </w:rPr>
        <w:t>〕</w:t>
      </w:r>
      <w:r>
        <w:rPr>
          <w:rFonts w:ascii="Times New Roman" w:eastAsia="宋体" w:hAnsi="Times New Roman" w:hint="eastAsia"/>
          <w:color w:val="auto"/>
          <w:szCs w:val="24"/>
        </w:rPr>
        <w:t>43</w:t>
      </w:r>
      <w:r>
        <w:rPr>
          <w:rFonts w:ascii="Times New Roman" w:eastAsia="宋体" w:hAnsi="Times New Roman" w:hint="eastAsia"/>
          <w:color w:val="auto"/>
          <w:szCs w:val="24"/>
        </w:rPr>
        <w:t>号</w:t>
      </w:r>
      <w:r>
        <w:rPr>
          <w:rFonts w:ascii="Times New Roman" w:eastAsia="宋体" w:hAnsi="Times New Roman"/>
          <w:color w:val="auto"/>
          <w:szCs w:val="24"/>
        </w:rPr>
        <w:t>，</w:t>
      </w:r>
      <w:r>
        <w:rPr>
          <w:rFonts w:ascii="Times New Roman" w:eastAsia="宋体" w:hAnsi="Times New Roman" w:hint="eastAsia"/>
          <w:color w:val="auto"/>
          <w:szCs w:val="24"/>
        </w:rPr>
        <w:t>以下简称《管理试行办法》）和</w:t>
      </w:r>
      <w:r>
        <w:rPr>
          <w:rFonts w:ascii="Times New Roman" w:eastAsia="宋体" w:hAnsi="Times New Roman" w:hint="eastAsia"/>
          <w:color w:val="auto"/>
          <w:szCs w:val="24"/>
        </w:rPr>
        <w:t>5</w:t>
      </w:r>
      <w:r>
        <w:rPr>
          <w:rFonts w:ascii="Times New Roman" w:eastAsia="宋体" w:hAnsi="Times New Roman" w:hint="eastAsia"/>
          <w:color w:val="auto"/>
          <w:szCs w:val="24"/>
        </w:rPr>
        <w:t>项配套指引</w:t>
      </w:r>
      <w:r>
        <w:rPr>
          <w:rFonts w:ascii="Times New Roman" w:eastAsia="宋体" w:hAnsi="Times New Roman" w:hint="eastAsia"/>
          <w:color w:val="auto"/>
          <w:szCs w:val="24"/>
        </w:rPr>
        <w:t>，自</w:t>
      </w:r>
      <w:r>
        <w:rPr>
          <w:rFonts w:ascii="Times New Roman" w:eastAsia="宋体" w:hAnsi="Times New Roman" w:hint="eastAsia"/>
          <w:color w:val="auto"/>
          <w:szCs w:val="24"/>
        </w:rPr>
        <w:t>2023</w:t>
      </w:r>
      <w:r>
        <w:rPr>
          <w:rFonts w:ascii="Times New Roman" w:eastAsia="宋体" w:hAnsi="Times New Roman" w:hint="eastAsia"/>
          <w:color w:val="auto"/>
          <w:szCs w:val="24"/>
        </w:rPr>
        <w:t>年</w:t>
      </w:r>
      <w:r>
        <w:rPr>
          <w:rFonts w:ascii="Times New Roman" w:eastAsia="宋体" w:hAnsi="Times New Roman" w:hint="eastAsia"/>
          <w:color w:val="auto"/>
          <w:szCs w:val="24"/>
        </w:rPr>
        <w:t>3</w:t>
      </w:r>
      <w:r>
        <w:rPr>
          <w:rFonts w:ascii="Times New Roman" w:eastAsia="宋体" w:hAnsi="Times New Roman" w:hint="eastAsia"/>
          <w:color w:val="auto"/>
          <w:szCs w:val="24"/>
        </w:rPr>
        <w:t>月</w:t>
      </w:r>
      <w:r>
        <w:rPr>
          <w:rFonts w:ascii="Times New Roman" w:eastAsia="宋体" w:hAnsi="Times New Roman" w:hint="eastAsia"/>
          <w:color w:val="auto"/>
          <w:szCs w:val="24"/>
        </w:rPr>
        <w:t>31</w:t>
      </w:r>
      <w:r>
        <w:rPr>
          <w:rFonts w:ascii="Times New Roman" w:eastAsia="宋体" w:hAnsi="Times New Roman" w:hint="eastAsia"/>
          <w:color w:val="auto"/>
          <w:szCs w:val="24"/>
        </w:rPr>
        <w:t>日起实施。</w:t>
      </w:r>
    </w:p>
    <w:p w:rsidR="005B7551" w:rsidRDefault="00252D0C" w:rsidP="000334EE">
      <w:pPr>
        <w:widowControl/>
        <w:numPr>
          <w:ilvl w:val="255"/>
          <w:numId w:val="0"/>
        </w:numPr>
        <w:tabs>
          <w:tab w:val="left" w:pos="426"/>
        </w:tabs>
        <w:adjustRightInd w:val="0"/>
        <w:snapToGrid w:val="0"/>
        <w:spacing w:afterLines="50" w:line="360" w:lineRule="auto"/>
        <w:ind w:firstLineChars="200" w:firstLine="480"/>
        <w:jc w:val="left"/>
        <w:rPr>
          <w:rFonts w:ascii="Times New Roman" w:eastAsia="宋体" w:hAnsi="Times New Roman"/>
          <w:szCs w:val="24"/>
          <w:lang/>
        </w:rPr>
      </w:pPr>
      <w:r>
        <w:rPr>
          <w:rFonts w:ascii="Times New Roman" w:eastAsia="宋体" w:hAnsi="Times New Roman"/>
          <w:szCs w:val="24"/>
          <w:lang/>
        </w:rPr>
        <w:t>《管理试行办法》共六章三十五条，主要内容</w:t>
      </w:r>
      <w:r>
        <w:rPr>
          <w:rFonts w:ascii="Times New Roman" w:eastAsia="宋体" w:hAnsi="Times New Roman"/>
          <w:szCs w:val="24"/>
          <w:lang/>
        </w:rPr>
        <w:t>包括</w:t>
      </w:r>
      <w:r>
        <w:rPr>
          <w:rFonts w:ascii="Times New Roman" w:eastAsia="宋体" w:hAnsi="Times New Roman"/>
          <w:szCs w:val="24"/>
          <w:lang/>
        </w:rPr>
        <w:t>：一是完善监管制度。对境内企业直接和间接境外上市活动统一实施备案管理，明确境内企业直接和间接境外发行上市证券的适用情形。二是明确备案要求。明确备案主体、备案时点、备案程序等要求。三是加强监管协同。建立境内企业境外发行上市监管协调机制，完善跨境证券监管合作安排，建立备案信息通报等机制。四是明确法律责任。明确未履行备案程序、备案材料造假等违法违规行为的法律责任，提高违法违规成本。五是增强制度包容性。结合资本市场扩大对外开放实际和市场需要，放宽直接境外发行上市在特定情形</w:t>
      </w:r>
      <w:r>
        <w:rPr>
          <w:rFonts w:ascii="Times New Roman" w:eastAsia="宋体" w:hAnsi="Times New Roman"/>
          <w:szCs w:val="24"/>
          <w:lang/>
        </w:rPr>
        <w:t>下的发行对象限制；进一步便利</w:t>
      </w:r>
      <w:r>
        <w:rPr>
          <w:rFonts w:ascii="Times New Roman" w:eastAsia="宋体" w:hAnsi="Times New Roman" w:hint="eastAsia"/>
          <w:szCs w:val="24"/>
          <w:lang/>
        </w:rPr>
        <w:t>“</w:t>
      </w:r>
      <w:r>
        <w:rPr>
          <w:rFonts w:ascii="Times New Roman" w:eastAsia="宋体" w:hAnsi="Times New Roman"/>
          <w:szCs w:val="24"/>
          <w:lang/>
        </w:rPr>
        <w:t>全流通</w:t>
      </w:r>
      <w:r>
        <w:rPr>
          <w:rFonts w:ascii="Times New Roman" w:eastAsia="宋体" w:hAnsi="Times New Roman" w:hint="eastAsia"/>
          <w:szCs w:val="24"/>
          <w:lang/>
        </w:rPr>
        <w:t>”</w:t>
      </w:r>
      <w:r>
        <w:rPr>
          <w:rFonts w:ascii="Times New Roman" w:eastAsia="宋体" w:hAnsi="Times New Roman"/>
          <w:szCs w:val="24"/>
          <w:lang/>
        </w:rPr>
        <w:t>；放宽境外募集资金、派发股利币种的限制，满足企业在境外募集人民币的需求。配套指引内容涵盖监管规则适用、备案材料内容和格式、报告内容、备案沟通、境外证券公司备案等方面，进一步明确和细化备案要求。</w:t>
      </w:r>
    </w:p>
    <w:p w:rsidR="005B7551" w:rsidRDefault="00252D0C" w:rsidP="000334EE">
      <w:pPr>
        <w:widowControl/>
        <w:numPr>
          <w:ilvl w:val="255"/>
          <w:numId w:val="0"/>
        </w:numPr>
        <w:tabs>
          <w:tab w:val="left" w:pos="426"/>
        </w:tabs>
        <w:adjustRightInd w:val="0"/>
        <w:snapToGrid w:val="0"/>
        <w:spacing w:afterLines="50" w:line="360" w:lineRule="auto"/>
        <w:ind w:firstLineChars="200" w:firstLine="480"/>
        <w:rPr>
          <w:rFonts w:ascii="Times New Roman" w:eastAsia="宋体" w:hAnsi="Times New Roman"/>
          <w:szCs w:val="24"/>
          <w:lang/>
        </w:rPr>
      </w:pPr>
      <w:r>
        <w:rPr>
          <w:rFonts w:ascii="Times New Roman" w:eastAsia="宋体" w:hAnsi="Times New Roman"/>
          <w:szCs w:val="24"/>
          <w:lang/>
        </w:rPr>
        <w:t>为支持企业依法依规境外上市，配套《管理试行办法》，证监会联合财政部、国家保密局、国家档案局对《关于加强在境外发行证券与上市相关保密和档案管理工作的规定》（证监会公告〔</w:t>
      </w:r>
      <w:r>
        <w:rPr>
          <w:rFonts w:ascii="Times New Roman" w:eastAsia="宋体" w:hAnsi="Times New Roman"/>
          <w:szCs w:val="24"/>
          <w:lang/>
        </w:rPr>
        <w:t>2009</w:t>
      </w:r>
      <w:r>
        <w:rPr>
          <w:rFonts w:ascii="Times New Roman" w:eastAsia="宋体" w:hAnsi="Times New Roman"/>
          <w:szCs w:val="24"/>
          <w:lang/>
        </w:rPr>
        <w:t>〕</w:t>
      </w:r>
      <w:r>
        <w:rPr>
          <w:rFonts w:ascii="Times New Roman" w:eastAsia="宋体" w:hAnsi="Times New Roman"/>
          <w:szCs w:val="24"/>
          <w:lang/>
        </w:rPr>
        <w:t>29</w:t>
      </w:r>
      <w:r>
        <w:rPr>
          <w:rFonts w:ascii="Times New Roman" w:eastAsia="宋体" w:hAnsi="Times New Roman"/>
          <w:szCs w:val="24"/>
          <w:lang/>
        </w:rPr>
        <w:t>号）进行修订，形成了《关于加强境内企业境外发行证券</w:t>
      </w:r>
      <w:r>
        <w:rPr>
          <w:rFonts w:ascii="Times New Roman" w:eastAsia="宋体" w:hAnsi="Times New Roman"/>
          <w:szCs w:val="24"/>
          <w:lang/>
        </w:rPr>
        <w:lastRenderedPageBreak/>
        <w:t>和上市相关保密和档案管理工作的规定》（证监会公告〔</w:t>
      </w:r>
      <w:r>
        <w:rPr>
          <w:rFonts w:ascii="Times New Roman" w:eastAsia="宋体" w:hAnsi="Times New Roman"/>
          <w:szCs w:val="24"/>
          <w:lang/>
        </w:rPr>
        <w:t>20</w:t>
      </w:r>
      <w:r>
        <w:rPr>
          <w:rFonts w:ascii="Times New Roman" w:eastAsia="宋体" w:hAnsi="Times New Roman"/>
          <w:szCs w:val="24"/>
        </w:rPr>
        <w:t>23</w:t>
      </w:r>
      <w:r>
        <w:rPr>
          <w:rFonts w:ascii="Times New Roman" w:eastAsia="宋体" w:hAnsi="Times New Roman"/>
          <w:szCs w:val="24"/>
          <w:lang/>
        </w:rPr>
        <w:t>〕</w:t>
      </w:r>
      <w:r>
        <w:rPr>
          <w:rFonts w:ascii="Times New Roman" w:eastAsia="宋体" w:hAnsi="Times New Roman"/>
          <w:szCs w:val="24"/>
          <w:lang/>
        </w:rPr>
        <w:t>44</w:t>
      </w:r>
      <w:r>
        <w:rPr>
          <w:rFonts w:ascii="Times New Roman" w:eastAsia="宋体" w:hAnsi="Times New Roman"/>
          <w:szCs w:val="24"/>
          <w:lang/>
        </w:rPr>
        <w:t>号），自</w:t>
      </w:r>
      <w:r>
        <w:rPr>
          <w:rFonts w:ascii="Times New Roman" w:eastAsia="宋体" w:hAnsi="Times New Roman"/>
          <w:szCs w:val="24"/>
          <w:lang/>
        </w:rPr>
        <w:t>2023</w:t>
      </w:r>
      <w:r>
        <w:rPr>
          <w:rFonts w:ascii="Times New Roman" w:eastAsia="宋体" w:hAnsi="Times New Roman"/>
          <w:szCs w:val="24"/>
          <w:lang/>
        </w:rPr>
        <w:t>年</w:t>
      </w:r>
      <w:r>
        <w:rPr>
          <w:rFonts w:ascii="Times New Roman" w:eastAsia="宋体" w:hAnsi="Times New Roman"/>
          <w:szCs w:val="24"/>
          <w:lang/>
        </w:rPr>
        <w:t>3</w:t>
      </w:r>
      <w:r>
        <w:rPr>
          <w:rFonts w:ascii="Times New Roman" w:eastAsia="宋体" w:hAnsi="Times New Roman"/>
          <w:szCs w:val="24"/>
          <w:lang/>
        </w:rPr>
        <w:t>月</w:t>
      </w:r>
      <w:r>
        <w:rPr>
          <w:rFonts w:ascii="Times New Roman" w:eastAsia="宋体" w:hAnsi="Times New Roman"/>
          <w:szCs w:val="24"/>
          <w:lang/>
        </w:rPr>
        <w:t>31</w:t>
      </w:r>
      <w:r>
        <w:rPr>
          <w:rFonts w:ascii="Times New Roman" w:eastAsia="宋体" w:hAnsi="Times New Roman"/>
          <w:szCs w:val="24"/>
          <w:lang/>
        </w:rPr>
        <w:t>日起与《管理试行办法》同步施行。</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2</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20</w:t>
      </w:r>
      <w:r>
        <w:rPr>
          <w:rFonts w:ascii="Times New Roman" w:eastAsia="宋体" w:hAnsi="Times New Roman" w:hint="eastAsia"/>
          <w:color w:val="auto"/>
          <w:kern w:val="0"/>
          <w:szCs w:val="24"/>
        </w:rPr>
        <w:t>日，中国证券投资基金业协会</w:t>
      </w:r>
      <w:r>
        <w:rPr>
          <w:rFonts w:ascii="Times New Roman" w:eastAsia="宋体" w:hAnsi="Times New Roman"/>
          <w:color w:val="auto"/>
          <w:kern w:val="0"/>
          <w:szCs w:val="24"/>
        </w:rPr>
        <w:t>（</w:t>
      </w:r>
      <w:r>
        <w:rPr>
          <w:rFonts w:ascii="Times New Roman" w:eastAsia="宋体" w:hAnsi="Times New Roman" w:hint="eastAsia"/>
          <w:color w:val="auto"/>
          <w:kern w:val="0"/>
          <w:szCs w:val="24"/>
          <w:lang/>
        </w:rPr>
        <w:t>以下简称基金业协会</w:t>
      </w:r>
      <w:r>
        <w:rPr>
          <w:rFonts w:ascii="Times New Roman" w:eastAsia="宋体" w:hAnsi="Times New Roman"/>
          <w:color w:val="auto"/>
          <w:kern w:val="0"/>
          <w:szCs w:val="24"/>
        </w:rPr>
        <w:t>）</w:t>
      </w:r>
      <w:r>
        <w:rPr>
          <w:rFonts w:ascii="Times New Roman" w:eastAsia="宋体" w:hAnsi="Times New Roman" w:hint="eastAsia"/>
          <w:color w:val="auto"/>
          <w:kern w:val="0"/>
          <w:szCs w:val="24"/>
        </w:rPr>
        <w:t>发布</w:t>
      </w:r>
      <w:r>
        <w:rPr>
          <w:rFonts w:ascii="Times New Roman" w:eastAsia="宋体" w:hAnsi="Times New Roman" w:hint="eastAsia"/>
          <w:color w:val="auto"/>
          <w:kern w:val="0"/>
          <w:szCs w:val="24"/>
          <w:lang/>
        </w:rPr>
        <w:t>了</w:t>
      </w:r>
      <w:r>
        <w:rPr>
          <w:rFonts w:ascii="Times New Roman" w:eastAsia="宋体" w:hAnsi="Times New Roman" w:hint="eastAsia"/>
          <w:color w:val="auto"/>
          <w:kern w:val="0"/>
          <w:szCs w:val="24"/>
        </w:rPr>
        <w:t>《不动产私募投资基金试点备案指引（试行）》（中基协发〔</w:t>
      </w:r>
      <w:r>
        <w:rPr>
          <w:rFonts w:ascii="Times New Roman" w:eastAsia="宋体" w:hAnsi="Times New Roman" w:hint="eastAsia"/>
          <w:color w:val="auto"/>
          <w:kern w:val="0"/>
          <w:szCs w:val="24"/>
        </w:rPr>
        <w:t>2023</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rPr>
        <w:t>4</w:t>
      </w:r>
      <w:r>
        <w:rPr>
          <w:rFonts w:ascii="Times New Roman" w:eastAsia="宋体" w:hAnsi="Times New Roman" w:hint="eastAsia"/>
          <w:color w:val="auto"/>
          <w:kern w:val="0"/>
          <w:szCs w:val="24"/>
        </w:rPr>
        <w:t>号，以下简称《不动产试点指引》），自</w:t>
      </w:r>
      <w:r>
        <w:rPr>
          <w:rFonts w:ascii="Times New Roman" w:eastAsia="宋体" w:hAnsi="Times New Roman" w:hint="eastAsia"/>
          <w:color w:val="auto"/>
          <w:kern w:val="0"/>
          <w:szCs w:val="24"/>
        </w:rPr>
        <w:t>2023</w:t>
      </w:r>
      <w:r>
        <w:rPr>
          <w:rFonts w:ascii="Times New Roman" w:eastAsia="宋体" w:hAnsi="Times New Roman" w:hint="eastAsia"/>
          <w:color w:val="auto"/>
          <w:kern w:val="0"/>
          <w:szCs w:val="24"/>
        </w:rPr>
        <w:t>年</w:t>
      </w:r>
      <w:r>
        <w:rPr>
          <w:rFonts w:ascii="Times New Roman" w:eastAsia="宋体" w:hAnsi="Times New Roman" w:hint="eastAsia"/>
          <w:color w:val="auto"/>
          <w:kern w:val="0"/>
          <w:szCs w:val="24"/>
        </w:rPr>
        <w:t>3</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1</w:t>
      </w:r>
      <w:r>
        <w:rPr>
          <w:rFonts w:ascii="Times New Roman" w:eastAsia="宋体" w:hAnsi="Times New Roman" w:hint="eastAsia"/>
          <w:color w:val="auto"/>
          <w:kern w:val="0"/>
          <w:szCs w:val="24"/>
        </w:rPr>
        <w:t>日起施行。</w:t>
      </w:r>
    </w:p>
    <w:p w:rsidR="005B7551" w:rsidRDefault="00252D0C" w:rsidP="000334EE">
      <w:pPr>
        <w:widowControl/>
        <w:tabs>
          <w:tab w:val="left" w:pos="426"/>
        </w:tabs>
        <w:adjustRightInd w:val="0"/>
        <w:snapToGrid w:val="0"/>
        <w:spacing w:afterLines="50" w:line="360" w:lineRule="auto"/>
        <w:ind w:firstLineChars="200" w:firstLine="480"/>
        <w:jc w:val="left"/>
        <w:rPr>
          <w:rFonts w:ascii="Times New Roman" w:eastAsia="宋体" w:hAnsi="Times New Roman"/>
          <w:szCs w:val="24"/>
          <w:lang/>
        </w:rPr>
      </w:pPr>
      <w:r>
        <w:rPr>
          <w:rFonts w:ascii="Times New Roman" w:eastAsia="宋体" w:hAnsi="Times New Roman"/>
          <w:color w:val="auto"/>
          <w:kern w:val="0"/>
          <w:szCs w:val="24"/>
        </w:rPr>
        <w:t>《不动产试点指引》从基金募集、投资、运作、信息披露等方面进行规范</w:t>
      </w:r>
      <w:r>
        <w:rPr>
          <w:rFonts w:ascii="Times New Roman" w:eastAsia="宋体" w:hAnsi="Times New Roman" w:hint="eastAsia"/>
          <w:color w:val="auto"/>
          <w:kern w:val="0"/>
          <w:szCs w:val="24"/>
        </w:rPr>
        <w:t>，</w:t>
      </w:r>
      <w:r>
        <w:rPr>
          <w:rFonts w:ascii="Times New Roman" w:eastAsia="宋体" w:hAnsi="Times New Roman"/>
          <w:color w:val="auto"/>
          <w:kern w:val="0"/>
          <w:szCs w:val="24"/>
        </w:rPr>
        <w:t>主要内容</w:t>
      </w:r>
      <w:r>
        <w:rPr>
          <w:rFonts w:ascii="Times New Roman" w:eastAsia="宋体" w:hAnsi="Times New Roman" w:hint="eastAsia"/>
          <w:color w:val="auto"/>
          <w:kern w:val="0"/>
          <w:szCs w:val="24"/>
          <w:lang/>
        </w:rPr>
        <w:t>包括</w:t>
      </w:r>
      <w:r>
        <w:rPr>
          <w:rFonts w:ascii="Times New Roman" w:eastAsia="宋体" w:hAnsi="Times New Roman" w:hint="eastAsia"/>
          <w:color w:val="auto"/>
          <w:kern w:val="0"/>
          <w:szCs w:val="24"/>
        </w:rPr>
        <w:t>：</w:t>
      </w:r>
      <w:r>
        <w:rPr>
          <w:rFonts w:ascii="Times New Roman" w:eastAsia="宋体" w:hAnsi="Times New Roman" w:hint="eastAsia"/>
          <w:color w:val="auto"/>
          <w:kern w:val="0"/>
          <w:szCs w:val="24"/>
          <w:lang/>
        </w:rPr>
        <w:t>一</w:t>
      </w:r>
      <w:r>
        <w:rPr>
          <w:rFonts w:ascii="Times New Roman" w:eastAsia="宋体" w:hAnsi="Times New Roman" w:hint="eastAsia"/>
          <w:color w:val="auto"/>
          <w:kern w:val="0"/>
          <w:szCs w:val="24"/>
        </w:rPr>
        <w:t>是</w:t>
      </w:r>
      <w:r>
        <w:rPr>
          <w:rFonts w:ascii="Times New Roman" w:eastAsia="宋体" w:hAnsi="Times New Roman" w:hint="eastAsia"/>
          <w:color w:val="auto"/>
          <w:kern w:val="0"/>
          <w:szCs w:val="24"/>
          <w:lang/>
        </w:rPr>
        <w:t>明确试点原则、不动产投资范围、管理人要求，新增产品类型</w:t>
      </w:r>
      <w:r>
        <w:rPr>
          <w:rFonts w:ascii="Times New Roman" w:eastAsia="宋体" w:hAnsi="Times New Roman"/>
          <w:color w:val="auto"/>
          <w:kern w:val="0"/>
          <w:szCs w:val="24"/>
          <w:lang/>
        </w:rPr>
        <w:t>；</w:t>
      </w:r>
      <w:r>
        <w:rPr>
          <w:rFonts w:ascii="Times New Roman" w:eastAsia="宋体" w:hAnsi="Times New Roman" w:hint="eastAsia"/>
          <w:color w:val="auto"/>
          <w:kern w:val="0"/>
          <w:szCs w:val="24"/>
          <w:lang/>
        </w:rPr>
        <w:t>二</w:t>
      </w:r>
      <w:r>
        <w:rPr>
          <w:rFonts w:ascii="Times New Roman" w:eastAsia="宋体" w:hAnsi="Times New Roman" w:hint="eastAsia"/>
          <w:color w:val="auto"/>
          <w:kern w:val="0"/>
          <w:szCs w:val="24"/>
        </w:rPr>
        <w:t>是</w:t>
      </w:r>
      <w:r>
        <w:rPr>
          <w:rFonts w:ascii="Times New Roman" w:eastAsia="宋体" w:hAnsi="Times New Roman"/>
          <w:color w:val="auto"/>
          <w:kern w:val="0"/>
          <w:szCs w:val="24"/>
          <w:lang/>
        </w:rPr>
        <w:t>明确适格投资者及基金运作要求；</w:t>
      </w:r>
      <w:r>
        <w:rPr>
          <w:rFonts w:ascii="Times New Roman" w:eastAsia="宋体" w:hAnsi="Times New Roman" w:hint="eastAsia"/>
          <w:color w:val="auto"/>
          <w:kern w:val="0"/>
          <w:szCs w:val="24"/>
          <w:lang/>
        </w:rPr>
        <w:t>三</w:t>
      </w:r>
      <w:r>
        <w:rPr>
          <w:rFonts w:ascii="Times New Roman" w:eastAsia="宋体" w:hAnsi="Times New Roman" w:hint="eastAsia"/>
          <w:color w:val="auto"/>
          <w:kern w:val="0"/>
          <w:szCs w:val="24"/>
        </w:rPr>
        <w:t>是</w:t>
      </w:r>
      <w:r>
        <w:rPr>
          <w:rFonts w:ascii="Times New Roman" w:eastAsia="宋体" w:hAnsi="Times New Roman"/>
          <w:color w:val="auto"/>
          <w:kern w:val="0"/>
          <w:szCs w:val="24"/>
          <w:lang/>
        </w:rPr>
        <w:t>适度放宽股债比及扩募限制，提升不动产基金运作灵活度；</w:t>
      </w:r>
      <w:r>
        <w:rPr>
          <w:rFonts w:ascii="Times New Roman" w:eastAsia="宋体" w:hAnsi="Times New Roman" w:hint="eastAsia"/>
          <w:color w:val="auto"/>
          <w:kern w:val="0"/>
          <w:szCs w:val="24"/>
          <w:lang/>
        </w:rPr>
        <w:t>四</w:t>
      </w:r>
      <w:r>
        <w:rPr>
          <w:rFonts w:ascii="Times New Roman" w:eastAsia="宋体" w:hAnsi="Times New Roman" w:hint="eastAsia"/>
          <w:color w:val="auto"/>
          <w:kern w:val="0"/>
          <w:szCs w:val="24"/>
        </w:rPr>
        <w:t>是</w:t>
      </w:r>
      <w:r>
        <w:rPr>
          <w:rFonts w:ascii="Times New Roman" w:eastAsia="宋体" w:hAnsi="Times New Roman"/>
          <w:color w:val="auto"/>
          <w:kern w:val="0"/>
          <w:szCs w:val="24"/>
          <w:lang/>
        </w:rPr>
        <w:t>防范风险，加强事中事后监测。</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2</w:t>
      </w:r>
      <w:r>
        <w:rPr>
          <w:rFonts w:ascii="Times New Roman" w:eastAsia="宋体" w:hAnsi="Times New Roman"/>
          <w:color w:val="auto"/>
          <w:kern w:val="0"/>
          <w:szCs w:val="24"/>
        </w:rPr>
        <w:t>月</w:t>
      </w:r>
      <w:r>
        <w:rPr>
          <w:rFonts w:ascii="Times New Roman" w:eastAsia="宋体" w:hAnsi="Times New Roman" w:hint="eastAsia"/>
          <w:color w:val="auto"/>
          <w:kern w:val="0"/>
          <w:szCs w:val="24"/>
        </w:rPr>
        <w:t>20</w:t>
      </w:r>
      <w:r>
        <w:rPr>
          <w:rFonts w:ascii="Times New Roman" w:eastAsia="宋体" w:hAnsi="Times New Roman"/>
          <w:color w:val="auto"/>
          <w:kern w:val="0"/>
          <w:szCs w:val="24"/>
        </w:rPr>
        <w:t>日，</w:t>
      </w:r>
      <w:r>
        <w:rPr>
          <w:rFonts w:ascii="Times New Roman" w:eastAsia="宋体" w:hAnsi="Times New Roman" w:hint="eastAsia"/>
          <w:color w:val="auto"/>
          <w:kern w:val="0"/>
          <w:szCs w:val="24"/>
        </w:rPr>
        <w:t>工业和信息化部办公厅</w:t>
      </w:r>
      <w:r>
        <w:rPr>
          <w:rFonts w:ascii="Times New Roman" w:eastAsia="宋体" w:hAnsi="Times New Roman"/>
          <w:color w:val="auto"/>
          <w:kern w:val="0"/>
          <w:szCs w:val="24"/>
        </w:rPr>
        <w:t>发布《</w:t>
      </w:r>
      <w:r>
        <w:rPr>
          <w:rFonts w:ascii="Times New Roman" w:eastAsia="宋体" w:hAnsi="Times New Roman" w:hint="eastAsia"/>
          <w:color w:val="auto"/>
          <w:kern w:val="0"/>
          <w:szCs w:val="24"/>
        </w:rPr>
        <w:t>工业和信息化部办公厅关于开展第五批专精特新“小巨人”企业培育和第二批专精特新“小巨人”企业复核工作的通知</w:t>
      </w:r>
      <w:r>
        <w:rPr>
          <w:rFonts w:ascii="Times New Roman" w:eastAsia="宋体" w:hAnsi="Times New Roman"/>
          <w:color w:val="auto"/>
          <w:kern w:val="0"/>
          <w:szCs w:val="24"/>
        </w:rPr>
        <w:t>》（工信厅企业函〔</w:t>
      </w:r>
      <w:r>
        <w:rPr>
          <w:rFonts w:ascii="Times New Roman" w:eastAsia="宋体" w:hAnsi="Times New Roman"/>
          <w:color w:val="auto"/>
          <w:kern w:val="0"/>
          <w:szCs w:val="24"/>
        </w:rPr>
        <w:t>2023</w:t>
      </w:r>
      <w:r>
        <w:rPr>
          <w:rFonts w:ascii="Times New Roman" w:eastAsia="宋体" w:hAnsi="Times New Roman"/>
          <w:color w:val="auto"/>
          <w:kern w:val="0"/>
          <w:szCs w:val="24"/>
        </w:rPr>
        <w:t>〕</w:t>
      </w:r>
      <w:r>
        <w:rPr>
          <w:rFonts w:ascii="Times New Roman" w:eastAsia="宋体" w:hAnsi="Times New Roman"/>
          <w:color w:val="auto"/>
          <w:kern w:val="0"/>
          <w:szCs w:val="24"/>
        </w:rPr>
        <w:t>23</w:t>
      </w:r>
      <w:r>
        <w:rPr>
          <w:rFonts w:ascii="Times New Roman" w:eastAsia="宋体" w:hAnsi="Times New Roman"/>
          <w:color w:val="auto"/>
          <w:kern w:val="0"/>
          <w:szCs w:val="24"/>
        </w:rPr>
        <w:t>号，以下简称《</w:t>
      </w:r>
      <w:r>
        <w:rPr>
          <w:rFonts w:ascii="Times New Roman" w:eastAsia="宋体" w:hAnsi="Times New Roman" w:hint="eastAsia"/>
          <w:color w:val="auto"/>
          <w:kern w:val="0"/>
          <w:szCs w:val="24"/>
        </w:rPr>
        <w:t>通知</w:t>
      </w:r>
      <w:r>
        <w:rPr>
          <w:rFonts w:ascii="Times New Roman" w:eastAsia="宋体" w:hAnsi="Times New Roman"/>
          <w:color w:val="auto"/>
          <w:kern w:val="0"/>
          <w:szCs w:val="24"/>
        </w:rPr>
        <w:t>》）</w:t>
      </w:r>
      <w:r>
        <w:rPr>
          <w:rFonts w:ascii="Times New Roman" w:eastAsia="宋体" w:hAnsi="Times New Roman"/>
          <w:color w:val="auto"/>
          <w:kern w:val="0"/>
          <w:szCs w:val="24"/>
        </w:rPr>
        <w:t>，</w:t>
      </w:r>
      <w:r>
        <w:rPr>
          <w:rFonts w:ascii="Times New Roman" w:eastAsia="宋体" w:hAnsi="Times New Roman"/>
          <w:color w:val="auto"/>
          <w:kern w:val="0"/>
          <w:szCs w:val="24"/>
          <w:lang/>
        </w:rPr>
        <w:t>自发布之日起施行</w:t>
      </w:r>
      <w:r>
        <w:rPr>
          <w:rFonts w:ascii="Times New Roman" w:eastAsia="宋体" w:hAnsi="Times New Roman"/>
          <w:color w:val="auto"/>
          <w:kern w:val="0"/>
          <w:szCs w:val="24"/>
        </w:rPr>
        <w:t>。</w:t>
      </w:r>
    </w:p>
    <w:p w:rsidR="005B7551" w:rsidRDefault="00252D0C" w:rsidP="000334EE">
      <w:pPr>
        <w:widowControl/>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color w:val="auto"/>
          <w:kern w:val="0"/>
          <w:szCs w:val="24"/>
        </w:rPr>
        <w:t>《</w:t>
      </w:r>
      <w:r>
        <w:rPr>
          <w:rFonts w:ascii="Times New Roman" w:eastAsia="宋体" w:hAnsi="Times New Roman" w:hint="eastAsia"/>
          <w:color w:val="auto"/>
          <w:kern w:val="0"/>
          <w:szCs w:val="24"/>
        </w:rPr>
        <w:t>通知</w:t>
      </w:r>
      <w:r>
        <w:rPr>
          <w:rFonts w:ascii="Times New Roman" w:eastAsia="宋体" w:hAnsi="Times New Roman"/>
          <w:color w:val="auto"/>
          <w:kern w:val="0"/>
          <w:szCs w:val="24"/>
        </w:rPr>
        <w:t>》</w:t>
      </w:r>
      <w:r>
        <w:rPr>
          <w:rFonts w:ascii="Times New Roman" w:eastAsia="宋体" w:hAnsi="Times New Roman" w:hint="eastAsia"/>
          <w:color w:val="auto"/>
          <w:kern w:val="0"/>
          <w:szCs w:val="24"/>
        </w:rPr>
        <w:t>列明了第五批专精特新“小巨人”企业培育和第二批专精特新“小巨人”企业的申报和推荐要求、工作程序以及申报和推荐方式。</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2</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24</w:t>
      </w:r>
      <w:r>
        <w:rPr>
          <w:rFonts w:ascii="Times New Roman" w:eastAsia="宋体" w:hAnsi="Times New Roman" w:hint="eastAsia"/>
          <w:color w:val="auto"/>
          <w:kern w:val="0"/>
          <w:szCs w:val="24"/>
        </w:rPr>
        <w:t>日，基金业协会发布了《私募投资基金登记备案办法》（以下简称《办法》）及配套指引，自</w:t>
      </w:r>
      <w:r>
        <w:rPr>
          <w:rFonts w:ascii="Times New Roman" w:eastAsia="宋体" w:hAnsi="Times New Roman" w:hint="eastAsia"/>
          <w:color w:val="auto"/>
          <w:kern w:val="0"/>
          <w:szCs w:val="24"/>
        </w:rPr>
        <w:t>2023</w:t>
      </w:r>
      <w:r>
        <w:rPr>
          <w:rFonts w:ascii="Times New Roman" w:eastAsia="宋体" w:hAnsi="Times New Roman" w:hint="eastAsia"/>
          <w:color w:val="auto"/>
          <w:kern w:val="0"/>
          <w:szCs w:val="24"/>
        </w:rPr>
        <w:t>年</w:t>
      </w:r>
      <w:r>
        <w:rPr>
          <w:rFonts w:ascii="Times New Roman" w:eastAsia="宋体" w:hAnsi="Times New Roman" w:hint="eastAsia"/>
          <w:color w:val="auto"/>
          <w:kern w:val="0"/>
          <w:szCs w:val="24"/>
        </w:rPr>
        <w:t>5</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1</w:t>
      </w:r>
      <w:r>
        <w:rPr>
          <w:rFonts w:ascii="Times New Roman" w:eastAsia="宋体" w:hAnsi="Times New Roman" w:hint="eastAsia"/>
          <w:color w:val="auto"/>
          <w:kern w:val="0"/>
          <w:szCs w:val="24"/>
        </w:rPr>
        <w:t>日起施行。</w:t>
      </w:r>
      <w:r>
        <w:rPr>
          <w:rFonts w:ascii="Times New Roman" w:eastAsia="宋体" w:hAnsi="Times New Roman" w:hint="eastAsia"/>
          <w:color w:val="auto"/>
          <w:kern w:val="0"/>
          <w:szCs w:val="24"/>
        </w:rPr>
        <w:t xml:space="preserve"> </w:t>
      </w:r>
    </w:p>
    <w:p w:rsidR="005B7551" w:rsidRDefault="00252D0C" w:rsidP="000334EE">
      <w:pPr>
        <w:widowControl/>
        <w:tabs>
          <w:tab w:val="left" w:pos="426"/>
        </w:tabs>
        <w:adjustRightInd w:val="0"/>
        <w:snapToGrid w:val="0"/>
        <w:spacing w:afterLines="50" w:line="360" w:lineRule="auto"/>
        <w:ind w:firstLineChars="200" w:firstLine="480"/>
        <w:rPr>
          <w:rFonts w:ascii="Times New Roman" w:eastAsia="宋体" w:hAnsi="Times New Roman"/>
          <w:color w:val="auto"/>
          <w:kern w:val="0"/>
          <w:szCs w:val="24"/>
          <w:lang/>
        </w:rPr>
      </w:pPr>
      <w:r>
        <w:rPr>
          <w:rFonts w:ascii="Times New Roman" w:eastAsia="宋体" w:hAnsi="Times New Roman"/>
          <w:color w:val="auto"/>
          <w:kern w:val="0"/>
          <w:szCs w:val="24"/>
        </w:rPr>
        <w:t>《办法》共六章八十三条，主要内容包括：一是适度完善登记规范标准，对私募基金管理人及其出资人、实际控制人、高管人员等关键主体作出规范要求。二是明确基金业务规范，把握募、投、管、退等关键环节，强化行业合规运作。三是健全制度机制，强化穿透式核查，加强信息披露和报送等事中事后自律管理。四是实施差异化自律管理，落实扶优限劣理念，增加行业获得感。五是完善自律手段，加强对</w:t>
      </w:r>
      <w:r>
        <w:rPr>
          <w:rFonts w:ascii="Times New Roman" w:eastAsia="宋体" w:hAnsi="Times New Roman" w:hint="eastAsia"/>
          <w:color w:val="auto"/>
          <w:kern w:val="0"/>
          <w:szCs w:val="24"/>
          <w:lang/>
        </w:rPr>
        <w:t>“</w:t>
      </w:r>
      <w:r>
        <w:rPr>
          <w:rFonts w:ascii="Times New Roman" w:eastAsia="宋体" w:hAnsi="Times New Roman"/>
          <w:color w:val="auto"/>
          <w:kern w:val="0"/>
          <w:szCs w:val="24"/>
        </w:rPr>
        <w:t>伪、劣、乱</w:t>
      </w:r>
      <w:r>
        <w:rPr>
          <w:rFonts w:ascii="Times New Roman" w:eastAsia="宋体" w:hAnsi="Times New Roman" w:hint="eastAsia"/>
          <w:color w:val="auto"/>
          <w:kern w:val="0"/>
          <w:szCs w:val="24"/>
          <w:lang/>
        </w:rPr>
        <w:t>”</w:t>
      </w:r>
      <w:r>
        <w:rPr>
          <w:rFonts w:ascii="Times New Roman" w:eastAsia="宋体" w:hAnsi="Times New Roman"/>
          <w:color w:val="auto"/>
          <w:kern w:val="0"/>
          <w:szCs w:val="24"/>
        </w:rPr>
        <w:t>私募的有效治理，遏制行业乱象，净化行业生态。</w:t>
      </w:r>
    </w:p>
    <w:p w:rsidR="005B7551" w:rsidRDefault="00252D0C">
      <w:pPr>
        <w:tabs>
          <w:tab w:val="left" w:pos="0"/>
          <w:tab w:val="left" w:pos="840"/>
        </w:tabs>
        <w:spacing w:before="100" w:beforeAutospacing="1" w:after="100" w:afterAutospacing="1"/>
        <w:rPr>
          <w:rFonts w:ascii="Times New Roman" w:eastAsia="黑体" w:hAnsi="Times New Roman"/>
          <w:b/>
          <w:color w:val="FFFFFF"/>
          <w:sz w:val="32"/>
          <w:szCs w:val="32"/>
          <w:highlight w:val="blue"/>
        </w:rPr>
      </w:pPr>
      <w:r>
        <w:rPr>
          <w:rFonts w:ascii="Times New Roman" w:eastAsia="黑体" w:hAnsi="Times New Roman"/>
          <w:b/>
          <w:color w:val="FFFFFF"/>
          <w:sz w:val="32"/>
          <w:szCs w:val="32"/>
          <w:highlight w:val="blue"/>
        </w:rPr>
        <w:t>市场要闻</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证监会发布关于全面实行股票发行注册制前后相关行政许可事项过渡期安排的通知</w:t>
      </w:r>
    </w:p>
    <w:p w:rsidR="005B7551" w:rsidRDefault="00252D0C" w:rsidP="000334EE">
      <w:pPr>
        <w:widowControl/>
        <w:numPr>
          <w:ilvl w:val="255"/>
          <w:numId w:val="0"/>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color w:val="auto"/>
          <w:kern w:val="0"/>
          <w:szCs w:val="24"/>
        </w:rPr>
        <w:t>2</w:t>
      </w:r>
      <w:r>
        <w:rPr>
          <w:rFonts w:ascii="Times New Roman" w:eastAsia="宋体" w:hAnsi="Times New Roman"/>
          <w:color w:val="auto"/>
          <w:kern w:val="0"/>
          <w:szCs w:val="24"/>
        </w:rPr>
        <w:t>月</w:t>
      </w:r>
      <w:r>
        <w:rPr>
          <w:rFonts w:ascii="Times New Roman" w:eastAsia="宋体" w:hAnsi="Times New Roman"/>
          <w:color w:val="auto"/>
          <w:kern w:val="0"/>
          <w:szCs w:val="24"/>
        </w:rPr>
        <w:t>1</w:t>
      </w:r>
      <w:r>
        <w:rPr>
          <w:rFonts w:ascii="Times New Roman" w:eastAsia="宋体" w:hAnsi="Times New Roman"/>
          <w:color w:val="auto"/>
          <w:kern w:val="0"/>
          <w:szCs w:val="24"/>
        </w:rPr>
        <w:t>日</w:t>
      </w:r>
      <w:r>
        <w:rPr>
          <w:rFonts w:ascii="Times New Roman" w:eastAsia="宋体" w:hAnsi="Times New Roman"/>
          <w:color w:val="auto"/>
          <w:kern w:val="0"/>
          <w:szCs w:val="24"/>
        </w:rPr>
        <w:t>，全面实行股票发行注册制改革正式启动</w:t>
      </w:r>
      <w:r>
        <w:rPr>
          <w:rFonts w:ascii="Times New Roman" w:eastAsia="宋体" w:hAnsi="Times New Roman" w:hint="eastAsia"/>
          <w:color w:val="auto"/>
          <w:kern w:val="0"/>
          <w:szCs w:val="24"/>
        </w:rPr>
        <w:t>。</w:t>
      </w:r>
      <w:r>
        <w:rPr>
          <w:rFonts w:ascii="Times New Roman" w:eastAsia="宋体" w:hAnsi="Times New Roman"/>
          <w:color w:val="auto"/>
          <w:kern w:val="0"/>
          <w:szCs w:val="24"/>
        </w:rPr>
        <w:t>为稳步推进全面实行注册制改革，有序做好实施前后主板首次公开发行股票、再融资、并购重组以及在全国股转公司</w:t>
      </w:r>
      <w:r>
        <w:rPr>
          <w:rFonts w:ascii="Times New Roman" w:eastAsia="宋体" w:hAnsi="Times New Roman"/>
          <w:color w:val="auto"/>
          <w:kern w:val="0"/>
          <w:szCs w:val="24"/>
        </w:rPr>
        <w:lastRenderedPageBreak/>
        <w:t>挂牌公开转让等行政许可事项的过渡，妥善安排试点注册制在审企业申报材料更新，</w:t>
      </w:r>
      <w:r>
        <w:rPr>
          <w:rFonts w:ascii="Times New Roman" w:eastAsia="宋体" w:hAnsi="Times New Roman" w:hint="eastAsia"/>
          <w:color w:val="auto"/>
          <w:kern w:val="0"/>
          <w:szCs w:val="24"/>
        </w:rPr>
        <w:t>证监会就过渡期有关工作作出安排：</w:t>
      </w:r>
      <w:r>
        <w:rPr>
          <w:rFonts w:ascii="Times New Roman" w:eastAsia="宋体" w:hAnsi="Times New Roman" w:hint="eastAsia"/>
          <w:color w:val="auto"/>
          <w:kern w:val="0"/>
          <w:szCs w:val="24"/>
        </w:rPr>
        <w:t>2</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1</w:t>
      </w:r>
      <w:r>
        <w:rPr>
          <w:rFonts w:ascii="Times New Roman" w:eastAsia="宋体" w:hAnsi="Times New Roman" w:hint="eastAsia"/>
          <w:color w:val="auto"/>
          <w:kern w:val="0"/>
          <w:szCs w:val="24"/>
        </w:rPr>
        <w:t>日前证监会继续接收主板首次公开发行股票、再融资和并购重组申请；全面实行注册制主要规则发布之日起，证监会终止主板在审企业首次公开发行股票、再融资、并购重组的审核，并将相关在审企业的审核顺序和审核资料转交易所，对于已接收尚未完成受理的主板上市公司再融资、并购重组申</w:t>
      </w:r>
      <w:r>
        <w:rPr>
          <w:rFonts w:ascii="Times New Roman" w:eastAsia="宋体" w:hAnsi="Times New Roman" w:hint="eastAsia"/>
          <w:color w:val="auto"/>
          <w:kern w:val="0"/>
          <w:szCs w:val="24"/>
        </w:rPr>
        <w:t>请不再受理；全面实行注册制主要规则发布之日起</w:t>
      </w:r>
      <w:r>
        <w:rPr>
          <w:rFonts w:ascii="Times New Roman" w:eastAsia="宋体" w:hAnsi="Times New Roman" w:hint="eastAsia"/>
          <w:color w:val="auto"/>
          <w:kern w:val="0"/>
          <w:szCs w:val="24"/>
        </w:rPr>
        <w:t>10</w:t>
      </w:r>
      <w:r>
        <w:rPr>
          <w:rFonts w:ascii="Times New Roman" w:eastAsia="宋体" w:hAnsi="Times New Roman" w:hint="eastAsia"/>
          <w:color w:val="auto"/>
          <w:kern w:val="0"/>
          <w:szCs w:val="24"/>
        </w:rPr>
        <w:t>个工作日后，交易所开始受理主板其他企业的首次公开发行股票、再融资、并购重组申请。</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证监会通报</w:t>
      </w:r>
      <w:r>
        <w:rPr>
          <w:rFonts w:ascii="Times New Roman" w:eastAsia="宋体" w:hAnsi="Times New Roman" w:hint="eastAsia"/>
          <w:color w:val="auto"/>
          <w:kern w:val="0"/>
          <w:szCs w:val="24"/>
        </w:rPr>
        <w:t>2022</w:t>
      </w:r>
      <w:r>
        <w:rPr>
          <w:rFonts w:ascii="Times New Roman" w:eastAsia="宋体" w:hAnsi="Times New Roman" w:hint="eastAsia"/>
          <w:color w:val="auto"/>
          <w:kern w:val="0"/>
          <w:szCs w:val="24"/>
        </w:rPr>
        <w:t>年案件办理情况</w:t>
      </w:r>
    </w:p>
    <w:p w:rsidR="005B7551" w:rsidRDefault="00252D0C" w:rsidP="000334EE">
      <w:pPr>
        <w:widowControl/>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color w:val="auto"/>
          <w:kern w:val="0"/>
          <w:szCs w:val="24"/>
        </w:rPr>
        <w:t>2</w:t>
      </w:r>
      <w:r>
        <w:rPr>
          <w:rFonts w:ascii="Times New Roman" w:eastAsia="宋体" w:hAnsi="Times New Roman" w:hint="eastAsia"/>
          <w:color w:val="auto"/>
          <w:kern w:val="0"/>
          <w:szCs w:val="24"/>
          <w:lang/>
        </w:rPr>
        <w:t>月</w:t>
      </w:r>
      <w:r>
        <w:rPr>
          <w:rFonts w:ascii="Times New Roman" w:eastAsia="宋体" w:hAnsi="Times New Roman"/>
          <w:color w:val="auto"/>
          <w:kern w:val="0"/>
          <w:szCs w:val="24"/>
          <w:lang/>
        </w:rPr>
        <w:t>10</w:t>
      </w:r>
      <w:r>
        <w:rPr>
          <w:rFonts w:ascii="Times New Roman" w:eastAsia="宋体" w:hAnsi="Times New Roman" w:hint="eastAsia"/>
          <w:color w:val="auto"/>
          <w:kern w:val="0"/>
          <w:szCs w:val="24"/>
          <w:lang/>
        </w:rPr>
        <w:t>日</w:t>
      </w:r>
      <w:r>
        <w:rPr>
          <w:rFonts w:ascii="Times New Roman" w:eastAsia="宋体" w:hAnsi="Times New Roman"/>
          <w:color w:val="auto"/>
          <w:kern w:val="0"/>
          <w:szCs w:val="24"/>
          <w:lang/>
        </w:rPr>
        <w:t>，</w:t>
      </w:r>
      <w:r>
        <w:rPr>
          <w:rFonts w:ascii="Times New Roman" w:eastAsia="宋体" w:hAnsi="Times New Roman" w:hint="eastAsia"/>
          <w:color w:val="auto"/>
          <w:kern w:val="0"/>
          <w:szCs w:val="24"/>
          <w:lang/>
        </w:rPr>
        <w:t>证监会</w:t>
      </w:r>
      <w:r>
        <w:rPr>
          <w:rFonts w:ascii="Times New Roman" w:eastAsia="宋体" w:hAnsi="Times New Roman" w:hint="eastAsia"/>
          <w:color w:val="auto"/>
          <w:kern w:val="0"/>
          <w:szCs w:val="24"/>
        </w:rPr>
        <w:t>在其官方网站</w:t>
      </w:r>
      <w:r>
        <w:rPr>
          <w:rFonts w:ascii="Times New Roman" w:eastAsia="宋体" w:hAnsi="Times New Roman" w:hint="eastAsia"/>
          <w:color w:val="auto"/>
          <w:kern w:val="0"/>
          <w:szCs w:val="24"/>
          <w:lang/>
        </w:rPr>
        <w:t>通报打击各类证券期货违法行为</w:t>
      </w:r>
      <w:r>
        <w:rPr>
          <w:rFonts w:ascii="Times New Roman" w:eastAsia="宋体" w:hAnsi="Times New Roman" w:hint="eastAsia"/>
          <w:color w:val="auto"/>
          <w:kern w:val="0"/>
          <w:szCs w:val="24"/>
        </w:rPr>
        <w:t>案件办理情况</w:t>
      </w:r>
      <w:r>
        <w:rPr>
          <w:rFonts w:ascii="Times New Roman" w:eastAsia="宋体" w:hAnsi="Times New Roman"/>
          <w:color w:val="auto"/>
          <w:kern w:val="0"/>
          <w:szCs w:val="24"/>
        </w:rPr>
        <w:t>。</w:t>
      </w:r>
      <w:r>
        <w:rPr>
          <w:rFonts w:ascii="Times New Roman" w:eastAsia="宋体" w:hAnsi="Times New Roman" w:hint="eastAsia"/>
          <w:color w:val="auto"/>
          <w:kern w:val="0"/>
          <w:szCs w:val="24"/>
        </w:rPr>
        <w:t>2022</w:t>
      </w:r>
      <w:r>
        <w:rPr>
          <w:rFonts w:ascii="Times New Roman" w:eastAsia="宋体" w:hAnsi="Times New Roman" w:hint="eastAsia"/>
          <w:color w:val="auto"/>
          <w:kern w:val="0"/>
          <w:szCs w:val="24"/>
        </w:rPr>
        <w:t>年，证监会稽查部门严厉打击各类证券期货违法行为，全年办理案件</w:t>
      </w:r>
      <w:r>
        <w:rPr>
          <w:rFonts w:ascii="Times New Roman" w:eastAsia="宋体" w:hAnsi="Times New Roman" w:hint="eastAsia"/>
          <w:color w:val="auto"/>
          <w:kern w:val="0"/>
          <w:szCs w:val="24"/>
        </w:rPr>
        <w:t>603</w:t>
      </w:r>
      <w:r>
        <w:rPr>
          <w:rFonts w:ascii="Times New Roman" w:eastAsia="宋体" w:hAnsi="Times New Roman" w:hint="eastAsia"/>
          <w:color w:val="auto"/>
          <w:kern w:val="0"/>
          <w:szCs w:val="24"/>
        </w:rPr>
        <w:t>件，其中重大案件</w:t>
      </w:r>
      <w:r>
        <w:rPr>
          <w:rFonts w:ascii="Times New Roman" w:eastAsia="宋体" w:hAnsi="Times New Roman" w:hint="eastAsia"/>
          <w:color w:val="auto"/>
          <w:kern w:val="0"/>
          <w:szCs w:val="24"/>
        </w:rPr>
        <w:t>136</w:t>
      </w:r>
      <w:r>
        <w:rPr>
          <w:rFonts w:ascii="Times New Roman" w:eastAsia="宋体" w:hAnsi="Times New Roman" w:hint="eastAsia"/>
          <w:color w:val="auto"/>
          <w:kern w:val="0"/>
          <w:szCs w:val="24"/>
        </w:rPr>
        <w:t>件，向公安机关移送涉嫌犯罪案件和通报线索</w:t>
      </w:r>
      <w:r>
        <w:rPr>
          <w:rFonts w:ascii="Times New Roman" w:eastAsia="宋体" w:hAnsi="Times New Roman" w:hint="eastAsia"/>
          <w:color w:val="auto"/>
          <w:kern w:val="0"/>
          <w:szCs w:val="24"/>
        </w:rPr>
        <w:t>123</w:t>
      </w:r>
      <w:r>
        <w:rPr>
          <w:rFonts w:ascii="Times New Roman" w:eastAsia="宋体" w:hAnsi="Times New Roman" w:hint="eastAsia"/>
          <w:color w:val="auto"/>
          <w:kern w:val="0"/>
          <w:szCs w:val="24"/>
        </w:rPr>
        <w:t>件，案件查实率达到</w:t>
      </w:r>
      <w:r>
        <w:rPr>
          <w:rFonts w:ascii="Times New Roman" w:eastAsia="宋体" w:hAnsi="Times New Roman" w:hint="eastAsia"/>
          <w:color w:val="auto"/>
          <w:kern w:val="0"/>
          <w:szCs w:val="24"/>
        </w:rPr>
        <w:t>90%</w:t>
      </w:r>
      <w:r>
        <w:rPr>
          <w:rFonts w:ascii="Times New Roman" w:eastAsia="宋体" w:hAnsi="Times New Roman" w:hint="eastAsia"/>
          <w:color w:val="auto"/>
          <w:kern w:val="0"/>
          <w:szCs w:val="24"/>
        </w:rPr>
        <w:t>。案件办理情况和主要特点如下：一是内幕交易多发势头得到遏制，但知情人违规交易仍时有发生；二是操纵市场案发总量下降，但组织化、团伙化特征更趋明显；三是财务造假仍有发生，违规手法隐蔽复杂；四是中介机构违法案件保持高位，部分主体失职缺位问题突出</w:t>
      </w:r>
      <w:r>
        <w:rPr>
          <w:rFonts w:ascii="Times New Roman" w:eastAsia="宋体" w:hAnsi="Times New Roman"/>
          <w:color w:val="auto"/>
          <w:kern w:val="0"/>
          <w:szCs w:val="24"/>
        </w:rPr>
        <w:t>。</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北交所</w:t>
      </w:r>
      <w:r>
        <w:rPr>
          <w:rFonts w:ascii="Times New Roman" w:eastAsia="宋体" w:hAnsi="Times New Roman" w:hint="eastAsia"/>
          <w:color w:val="auto"/>
          <w:kern w:val="0"/>
          <w:szCs w:val="24"/>
          <w:lang/>
        </w:rPr>
        <w:t>新增</w:t>
      </w:r>
      <w:r>
        <w:rPr>
          <w:rFonts w:ascii="Times New Roman" w:eastAsia="宋体" w:hAnsi="Times New Roman" w:hint="eastAsia"/>
          <w:color w:val="auto"/>
          <w:kern w:val="0"/>
          <w:szCs w:val="24"/>
        </w:rPr>
        <w:t>融资融券交易业务</w:t>
      </w:r>
      <w:r>
        <w:rPr>
          <w:rFonts w:ascii="Times New Roman" w:eastAsia="宋体" w:hAnsi="Times New Roman" w:hint="eastAsia"/>
          <w:color w:val="auto"/>
          <w:kern w:val="0"/>
          <w:szCs w:val="24"/>
          <w:lang/>
        </w:rPr>
        <w:t>和</w:t>
      </w:r>
      <w:r>
        <w:rPr>
          <w:rFonts w:ascii="Times New Roman" w:eastAsia="宋体" w:hAnsi="Times New Roman" w:hint="eastAsia"/>
          <w:color w:val="auto"/>
          <w:kern w:val="0"/>
          <w:szCs w:val="24"/>
        </w:rPr>
        <w:t>股票做市交易业务</w:t>
      </w:r>
    </w:p>
    <w:p w:rsidR="005B7551" w:rsidRDefault="00252D0C" w:rsidP="000334EE">
      <w:pPr>
        <w:widowControl/>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color w:val="auto"/>
          <w:kern w:val="0"/>
          <w:szCs w:val="24"/>
        </w:rPr>
        <w:t>2</w:t>
      </w:r>
      <w:r>
        <w:rPr>
          <w:rFonts w:ascii="Times New Roman" w:eastAsia="宋体" w:hAnsi="Times New Roman"/>
          <w:color w:val="auto"/>
          <w:kern w:val="0"/>
          <w:szCs w:val="24"/>
        </w:rPr>
        <w:t>月</w:t>
      </w:r>
      <w:r>
        <w:rPr>
          <w:rFonts w:ascii="Times New Roman" w:eastAsia="宋体" w:hAnsi="Times New Roman"/>
          <w:color w:val="auto"/>
          <w:kern w:val="0"/>
          <w:szCs w:val="24"/>
        </w:rPr>
        <w:t>13</w:t>
      </w:r>
      <w:r>
        <w:rPr>
          <w:rFonts w:ascii="Times New Roman" w:eastAsia="宋体" w:hAnsi="Times New Roman"/>
          <w:color w:val="auto"/>
          <w:kern w:val="0"/>
          <w:szCs w:val="24"/>
        </w:rPr>
        <w:t>日</w:t>
      </w:r>
      <w:r>
        <w:rPr>
          <w:rFonts w:ascii="Times New Roman" w:eastAsia="宋体" w:hAnsi="Times New Roman"/>
          <w:color w:val="auto"/>
          <w:kern w:val="0"/>
          <w:szCs w:val="24"/>
        </w:rPr>
        <w:t>，</w:t>
      </w:r>
      <w:r>
        <w:rPr>
          <w:rFonts w:ascii="Times New Roman" w:eastAsia="宋体" w:hAnsi="Times New Roman"/>
          <w:color w:val="auto"/>
          <w:kern w:val="0"/>
          <w:szCs w:val="24"/>
        </w:rPr>
        <w:t>经证监会批准，北交所融资融券交易业务正式启动</w:t>
      </w:r>
      <w:r>
        <w:rPr>
          <w:rFonts w:ascii="Times New Roman" w:eastAsia="宋体" w:hAnsi="Times New Roman"/>
          <w:color w:val="auto"/>
          <w:kern w:val="0"/>
          <w:szCs w:val="24"/>
        </w:rPr>
        <w:t>。</w:t>
      </w:r>
      <w:r>
        <w:rPr>
          <w:rFonts w:ascii="Times New Roman" w:eastAsia="宋体" w:hAnsi="Times New Roman"/>
          <w:color w:val="auto"/>
          <w:kern w:val="0"/>
          <w:szCs w:val="24"/>
        </w:rPr>
        <w:t>融资融券制度有利于丰富投资者交易策略，满足投资者多元交易需求，促进市场价格发现，进一步提升市场流动性</w:t>
      </w:r>
      <w:r>
        <w:rPr>
          <w:rFonts w:ascii="Times New Roman" w:eastAsia="宋体" w:hAnsi="Times New Roman"/>
          <w:color w:val="auto"/>
          <w:kern w:val="0"/>
          <w:szCs w:val="24"/>
        </w:rPr>
        <w:t>。</w:t>
      </w:r>
      <w:r>
        <w:rPr>
          <w:rFonts w:ascii="Times New Roman" w:eastAsia="宋体" w:hAnsi="Times New Roman" w:hint="eastAsia"/>
          <w:color w:val="auto"/>
          <w:kern w:val="0"/>
          <w:szCs w:val="24"/>
        </w:rPr>
        <w:t>2</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20</w:t>
      </w:r>
      <w:r>
        <w:rPr>
          <w:rFonts w:ascii="Times New Roman" w:eastAsia="宋体" w:hAnsi="Times New Roman" w:hint="eastAsia"/>
          <w:color w:val="auto"/>
          <w:kern w:val="0"/>
          <w:szCs w:val="24"/>
        </w:rPr>
        <w:t>日</w:t>
      </w:r>
      <w:r>
        <w:rPr>
          <w:rFonts w:ascii="Times New Roman" w:eastAsia="宋体" w:hAnsi="Times New Roman"/>
          <w:color w:val="auto"/>
          <w:kern w:val="0"/>
          <w:szCs w:val="24"/>
        </w:rPr>
        <w:t>，</w:t>
      </w:r>
      <w:r>
        <w:rPr>
          <w:rFonts w:ascii="Times New Roman" w:eastAsia="宋体" w:hAnsi="Times New Roman"/>
          <w:color w:val="auto"/>
          <w:kern w:val="0"/>
          <w:szCs w:val="24"/>
        </w:rPr>
        <w:t>北交所</w:t>
      </w:r>
      <w:r>
        <w:rPr>
          <w:rFonts w:ascii="Times New Roman" w:eastAsia="宋体" w:hAnsi="Times New Roman" w:hint="eastAsia"/>
          <w:color w:val="auto"/>
          <w:kern w:val="0"/>
          <w:szCs w:val="24"/>
        </w:rPr>
        <w:t>股票做市交易业务正式启动</w:t>
      </w:r>
      <w:r>
        <w:rPr>
          <w:rFonts w:ascii="Times New Roman" w:eastAsia="宋体" w:hAnsi="Times New Roman"/>
          <w:color w:val="auto"/>
          <w:kern w:val="0"/>
          <w:szCs w:val="24"/>
        </w:rPr>
        <w:t>。</w:t>
      </w:r>
      <w:r>
        <w:rPr>
          <w:rFonts w:ascii="Times New Roman" w:eastAsia="宋体" w:hAnsi="Times New Roman"/>
          <w:color w:val="auto"/>
          <w:kern w:val="0"/>
          <w:szCs w:val="24"/>
        </w:rPr>
        <w:t>北交所采用成熟证券市场通行做法，在竞价交易的基础上引入做市交易，有助于缩小市场买卖价差，降低投资者交易成本。同时，通过引入增量资金，能够增加市场订单深度，提升市场流动性和市场稳定性。</w:t>
      </w:r>
    </w:p>
    <w:p w:rsidR="005B7551" w:rsidRDefault="00252D0C" w:rsidP="000334EE">
      <w:pPr>
        <w:widowControl/>
        <w:numPr>
          <w:ilvl w:val="0"/>
          <w:numId w:val="3"/>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沪深港通交易日历优化将正式实施</w:t>
      </w:r>
    </w:p>
    <w:p w:rsidR="005B7551" w:rsidRDefault="00252D0C" w:rsidP="000334EE">
      <w:pPr>
        <w:widowControl/>
        <w:numPr>
          <w:ilvl w:val="255"/>
          <w:numId w:val="0"/>
        </w:numPr>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2</w:t>
      </w:r>
      <w:r>
        <w:rPr>
          <w:rFonts w:ascii="Times New Roman" w:eastAsia="宋体" w:hAnsi="Times New Roman" w:hint="eastAsia"/>
          <w:color w:val="auto"/>
          <w:kern w:val="0"/>
          <w:szCs w:val="24"/>
          <w:lang/>
        </w:rPr>
        <w:t>月</w:t>
      </w:r>
      <w:r>
        <w:rPr>
          <w:rFonts w:ascii="Times New Roman" w:eastAsia="宋体" w:hAnsi="Times New Roman" w:hint="eastAsia"/>
          <w:color w:val="auto"/>
          <w:kern w:val="0"/>
          <w:szCs w:val="24"/>
        </w:rPr>
        <w:t>24</w:t>
      </w:r>
      <w:r>
        <w:rPr>
          <w:rFonts w:ascii="Times New Roman" w:eastAsia="宋体" w:hAnsi="Times New Roman" w:hint="eastAsia"/>
          <w:color w:val="auto"/>
          <w:kern w:val="0"/>
          <w:szCs w:val="24"/>
          <w:lang/>
        </w:rPr>
        <w:t>日</w:t>
      </w:r>
      <w:r>
        <w:rPr>
          <w:rFonts w:ascii="Times New Roman" w:eastAsia="宋体" w:hAnsi="Times New Roman"/>
          <w:color w:val="auto"/>
          <w:kern w:val="0"/>
          <w:szCs w:val="24"/>
          <w:lang/>
        </w:rPr>
        <w:t>，</w:t>
      </w:r>
      <w:r>
        <w:rPr>
          <w:rFonts w:ascii="Times New Roman" w:eastAsia="宋体" w:hAnsi="Times New Roman" w:hint="eastAsia"/>
          <w:color w:val="auto"/>
          <w:kern w:val="0"/>
          <w:szCs w:val="24"/>
          <w:lang/>
        </w:rPr>
        <w:t>证监会发布要闻</w:t>
      </w:r>
      <w:r>
        <w:rPr>
          <w:rFonts w:ascii="Times New Roman" w:eastAsia="宋体" w:hAnsi="Times New Roman"/>
          <w:color w:val="auto"/>
          <w:kern w:val="0"/>
          <w:szCs w:val="24"/>
          <w:lang/>
        </w:rPr>
        <w:t>，</w:t>
      </w:r>
      <w:r>
        <w:rPr>
          <w:rFonts w:ascii="Times New Roman" w:eastAsia="宋体" w:hAnsi="Times New Roman" w:hint="eastAsia"/>
          <w:color w:val="auto"/>
          <w:kern w:val="0"/>
          <w:szCs w:val="24"/>
        </w:rPr>
        <w:t>为进一步扩大资本市场高水平双向开放，更好地满足境内外投资者参与内地与香港资本市场权益资产配置的需求，证监会、香港证监会同意上交所、深交所、</w:t>
      </w:r>
      <w:r>
        <w:rPr>
          <w:rFonts w:ascii="Times New Roman" w:eastAsia="宋体" w:hAnsi="Times New Roman" w:hint="eastAsia"/>
          <w:color w:val="auto"/>
          <w:kern w:val="0"/>
          <w:szCs w:val="24"/>
          <w:lang/>
        </w:rPr>
        <w:t>香港证券交易所</w:t>
      </w:r>
      <w:r>
        <w:rPr>
          <w:rFonts w:ascii="Times New Roman" w:eastAsia="宋体" w:hAnsi="Times New Roman" w:hint="eastAsia"/>
          <w:color w:val="auto"/>
          <w:kern w:val="0"/>
          <w:szCs w:val="24"/>
        </w:rPr>
        <w:t>、中国结算和</w:t>
      </w:r>
      <w:r>
        <w:rPr>
          <w:rFonts w:ascii="Times New Roman" w:eastAsia="宋体" w:hAnsi="Times New Roman" w:hint="eastAsia"/>
          <w:color w:val="auto"/>
          <w:kern w:val="0"/>
          <w:szCs w:val="24"/>
        </w:rPr>
        <w:t>香港交易及结算所有限公司</w:t>
      </w:r>
      <w:r>
        <w:rPr>
          <w:rFonts w:ascii="Times New Roman" w:eastAsia="宋体" w:hAnsi="Times New Roman" w:hint="eastAsia"/>
          <w:color w:val="auto"/>
          <w:kern w:val="0"/>
          <w:szCs w:val="24"/>
        </w:rPr>
        <w:t>于</w:t>
      </w:r>
      <w:r>
        <w:rPr>
          <w:rFonts w:ascii="Times New Roman" w:eastAsia="宋体" w:hAnsi="Times New Roman" w:hint="eastAsia"/>
          <w:color w:val="auto"/>
          <w:kern w:val="0"/>
          <w:szCs w:val="24"/>
        </w:rPr>
        <w:t>2023</w:t>
      </w:r>
      <w:r>
        <w:rPr>
          <w:rFonts w:ascii="Times New Roman" w:eastAsia="宋体" w:hAnsi="Times New Roman" w:hint="eastAsia"/>
          <w:color w:val="auto"/>
          <w:kern w:val="0"/>
          <w:szCs w:val="24"/>
        </w:rPr>
        <w:t>年</w:t>
      </w:r>
      <w:r>
        <w:rPr>
          <w:rFonts w:ascii="Times New Roman" w:eastAsia="宋体" w:hAnsi="Times New Roman" w:hint="eastAsia"/>
          <w:color w:val="auto"/>
          <w:kern w:val="0"/>
          <w:szCs w:val="24"/>
        </w:rPr>
        <w:t>4</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24</w:t>
      </w:r>
      <w:r>
        <w:rPr>
          <w:rFonts w:ascii="Times New Roman" w:eastAsia="宋体" w:hAnsi="Times New Roman" w:hint="eastAsia"/>
          <w:color w:val="auto"/>
          <w:kern w:val="0"/>
          <w:szCs w:val="24"/>
        </w:rPr>
        <w:t>日正式实施沪深港通交易日历优化，开放因不满足结算安排而关闭的沪深港通交易日。实施后，港股通首次新增交易日为</w:t>
      </w:r>
      <w:r>
        <w:rPr>
          <w:rFonts w:ascii="Times New Roman" w:eastAsia="宋体" w:hAnsi="Times New Roman" w:hint="eastAsia"/>
          <w:color w:val="auto"/>
          <w:kern w:val="0"/>
          <w:szCs w:val="24"/>
        </w:rPr>
        <w:t>4</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27</w:t>
      </w:r>
      <w:r>
        <w:rPr>
          <w:rFonts w:ascii="Times New Roman" w:eastAsia="宋体" w:hAnsi="Times New Roman" w:hint="eastAsia"/>
          <w:color w:val="auto"/>
          <w:kern w:val="0"/>
          <w:szCs w:val="24"/>
        </w:rPr>
        <w:t>日、</w:t>
      </w:r>
      <w:r>
        <w:rPr>
          <w:rFonts w:ascii="Times New Roman" w:eastAsia="宋体" w:hAnsi="Times New Roman" w:hint="eastAsia"/>
          <w:color w:val="auto"/>
          <w:kern w:val="0"/>
          <w:szCs w:val="24"/>
        </w:rPr>
        <w:t>4</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28</w:t>
      </w:r>
      <w:r>
        <w:rPr>
          <w:rFonts w:ascii="Times New Roman" w:eastAsia="宋体" w:hAnsi="Times New Roman" w:hint="eastAsia"/>
          <w:color w:val="auto"/>
          <w:kern w:val="0"/>
          <w:szCs w:val="24"/>
        </w:rPr>
        <w:t>日，沪深股通首次新增交易日为</w:t>
      </w:r>
      <w:r>
        <w:rPr>
          <w:rFonts w:ascii="Times New Roman" w:eastAsia="宋体" w:hAnsi="Times New Roman" w:hint="eastAsia"/>
          <w:color w:val="auto"/>
          <w:kern w:val="0"/>
          <w:szCs w:val="24"/>
        </w:rPr>
        <w:t>5</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25</w:t>
      </w:r>
      <w:r>
        <w:rPr>
          <w:rFonts w:ascii="Times New Roman" w:eastAsia="宋体" w:hAnsi="Times New Roman" w:hint="eastAsia"/>
          <w:color w:val="auto"/>
          <w:kern w:val="0"/>
          <w:szCs w:val="24"/>
        </w:rPr>
        <w:t>日。</w:t>
      </w:r>
    </w:p>
    <w:p w:rsidR="005B7551" w:rsidRDefault="00252D0C">
      <w:pPr>
        <w:spacing w:afterAutospacing="1" w:line="360" w:lineRule="auto"/>
        <w:rPr>
          <w:rFonts w:ascii="Times New Roman" w:eastAsia="黑体" w:hAnsi="Times New Roman"/>
          <w:b/>
          <w:color w:val="FFFFFF"/>
          <w:sz w:val="32"/>
          <w:szCs w:val="32"/>
          <w:highlight w:val="blue"/>
        </w:rPr>
      </w:pPr>
      <w:r>
        <w:rPr>
          <w:rFonts w:ascii="Times New Roman" w:eastAsia="黑体" w:hAnsi="Times New Roman"/>
          <w:b/>
          <w:color w:val="FFFFFF"/>
          <w:sz w:val="32"/>
          <w:szCs w:val="32"/>
          <w:highlight w:val="blue"/>
        </w:rPr>
        <w:lastRenderedPageBreak/>
        <w:t>案例评析</w:t>
      </w:r>
    </w:p>
    <w:p w:rsidR="005B7551" w:rsidRDefault="00252D0C" w:rsidP="000334EE">
      <w:pPr>
        <w:pStyle w:val="a6"/>
        <w:shd w:val="clear" w:color="auto" w:fill="FFFFFF"/>
        <w:tabs>
          <w:tab w:val="left" w:pos="0"/>
        </w:tabs>
        <w:spacing w:afterLines="50" w:line="360" w:lineRule="auto"/>
        <w:jc w:val="center"/>
        <w:rPr>
          <w:rFonts w:ascii="Times New Roman" w:hAnsi="Times New Roman" w:cs="Times New Roman"/>
          <w:b/>
          <w:bCs/>
          <w:color w:val="000000"/>
        </w:rPr>
      </w:pPr>
      <w:r>
        <w:rPr>
          <w:rFonts w:ascii="Times New Roman" w:hAnsi="Times New Roman" w:cs="Times New Roman" w:hint="eastAsia"/>
          <w:b/>
          <w:bCs/>
          <w:color w:val="000000"/>
        </w:rPr>
        <w:t>全国首例金融市场测试案例司法意见公开宣告</w:t>
      </w:r>
    </w:p>
    <w:p w:rsidR="005B7551" w:rsidRDefault="00252D0C" w:rsidP="000334EE">
      <w:pPr>
        <w:widowControl/>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color w:val="auto"/>
          <w:kern w:val="0"/>
          <w:szCs w:val="24"/>
        </w:rPr>
        <w:t>2</w:t>
      </w:r>
      <w:r>
        <w:rPr>
          <w:rFonts w:ascii="Times New Roman" w:eastAsia="宋体" w:hAnsi="Times New Roman"/>
          <w:color w:val="auto"/>
          <w:kern w:val="0"/>
          <w:szCs w:val="24"/>
        </w:rPr>
        <w:t>月</w:t>
      </w:r>
      <w:r>
        <w:rPr>
          <w:rFonts w:ascii="Times New Roman" w:eastAsia="宋体" w:hAnsi="Times New Roman"/>
          <w:color w:val="auto"/>
          <w:kern w:val="0"/>
          <w:szCs w:val="24"/>
        </w:rPr>
        <w:t>22</w:t>
      </w:r>
      <w:r>
        <w:rPr>
          <w:rFonts w:ascii="Times New Roman" w:eastAsia="宋体" w:hAnsi="Times New Roman"/>
          <w:color w:val="auto"/>
          <w:kern w:val="0"/>
          <w:szCs w:val="24"/>
        </w:rPr>
        <w:t>日，上海金融法院公开宣告金融市场案例测试首案司法意见。意见明确了涉金融市场基础设施纠纷的法律适用原则，并对测试首案相关争议焦点作出认定。该案系依据《上海金融法院关于金融市场案例测试机制的规定（试行）》审理的首个测试案例，由银行间市场清算所股份有限公司（以下简称上清所）及交通银行股份有限公司、上海浦东发展银行股份有限公司、兴业银行股份有限公司、法国兴业银行（中国）有限公司共同申请启动，以测试上清所中央对手方清算业务违约处置规则的合法性和处置行为的合理性。测试首案以四家银行作为申请人机构</w:t>
      </w:r>
      <w:r>
        <w:rPr>
          <w:rFonts w:ascii="Times New Roman" w:eastAsia="宋体" w:hAnsi="Times New Roman"/>
          <w:color w:val="auto"/>
          <w:kern w:val="0"/>
          <w:szCs w:val="24"/>
        </w:rPr>
        <w:t>A</w:t>
      </w:r>
      <w:r>
        <w:rPr>
          <w:rFonts w:ascii="Times New Roman" w:eastAsia="宋体" w:hAnsi="Times New Roman"/>
          <w:color w:val="auto"/>
          <w:kern w:val="0"/>
          <w:szCs w:val="24"/>
        </w:rPr>
        <w:t>诉被申请人上清</w:t>
      </w:r>
      <w:r>
        <w:rPr>
          <w:rFonts w:ascii="Times New Roman" w:eastAsia="宋体" w:hAnsi="Times New Roman"/>
          <w:color w:val="auto"/>
          <w:kern w:val="0"/>
          <w:szCs w:val="24"/>
        </w:rPr>
        <w:t>所，要求被申请人赔偿申请人因违约处置所受保证金损失的形式进行。</w:t>
      </w:r>
    </w:p>
    <w:p w:rsidR="005B7551" w:rsidRDefault="00252D0C" w:rsidP="000334EE">
      <w:pPr>
        <w:pStyle w:val="a6"/>
        <w:numPr>
          <w:ilvl w:val="0"/>
          <w:numId w:val="4"/>
        </w:numPr>
        <w:shd w:val="clear" w:color="auto" w:fill="FFFFFF"/>
        <w:tabs>
          <w:tab w:val="left" w:pos="0"/>
        </w:tabs>
        <w:spacing w:afterLines="50" w:line="360" w:lineRule="auto"/>
        <w:ind w:left="0" w:firstLine="482"/>
        <w:jc w:val="both"/>
        <w:rPr>
          <w:rFonts w:ascii="Times New Roman" w:hAnsi="Times New Roman" w:cs="Times New Roman"/>
          <w:color w:val="000000"/>
        </w:rPr>
      </w:pPr>
      <w:r>
        <w:rPr>
          <w:rFonts w:ascii="Times New Roman" w:hAnsi="Times New Roman" w:cs="Times New Roman" w:hint="eastAsia"/>
          <w:color w:val="000000"/>
        </w:rPr>
        <w:t>基本案情</w:t>
      </w:r>
    </w:p>
    <w:p w:rsidR="005B7551" w:rsidRDefault="00252D0C" w:rsidP="000334EE">
      <w:pPr>
        <w:widowControl/>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2022</w:t>
      </w:r>
      <w:r>
        <w:rPr>
          <w:rFonts w:ascii="Times New Roman" w:eastAsia="宋体" w:hAnsi="Times New Roman" w:hint="eastAsia"/>
          <w:color w:val="auto"/>
          <w:kern w:val="0"/>
          <w:szCs w:val="24"/>
        </w:rPr>
        <w:t>年</w:t>
      </w:r>
      <w:r>
        <w:rPr>
          <w:rFonts w:ascii="Times New Roman" w:eastAsia="宋体" w:hAnsi="Times New Roman" w:hint="eastAsia"/>
          <w:color w:val="auto"/>
          <w:kern w:val="0"/>
          <w:szCs w:val="24"/>
        </w:rPr>
        <w:t>10</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12</w:t>
      </w:r>
      <w:r>
        <w:rPr>
          <w:rFonts w:ascii="Times New Roman" w:eastAsia="宋体" w:hAnsi="Times New Roman" w:hint="eastAsia"/>
          <w:color w:val="auto"/>
          <w:kern w:val="0"/>
          <w:szCs w:val="24"/>
        </w:rPr>
        <w:t>日，上海清算所联合交通银行、浦发银行、兴业银行、法国兴业银行（中国）向上海金融法院递交测试案例启动申请书，请求针对中央对手清算业务违约处置相关法律问题进行案例测试。</w:t>
      </w:r>
    </w:p>
    <w:p w:rsidR="005B7551" w:rsidRDefault="00252D0C" w:rsidP="000334EE">
      <w:pPr>
        <w:widowControl/>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2022</w:t>
      </w:r>
      <w:r>
        <w:rPr>
          <w:rFonts w:ascii="Times New Roman" w:eastAsia="宋体" w:hAnsi="Times New Roman" w:hint="eastAsia"/>
          <w:color w:val="auto"/>
          <w:kern w:val="0"/>
          <w:szCs w:val="24"/>
        </w:rPr>
        <w:t>年</w:t>
      </w:r>
      <w:r>
        <w:rPr>
          <w:rFonts w:ascii="Times New Roman" w:eastAsia="宋体" w:hAnsi="Times New Roman" w:hint="eastAsia"/>
          <w:color w:val="auto"/>
          <w:kern w:val="0"/>
          <w:szCs w:val="24"/>
        </w:rPr>
        <w:t>10</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13</w:t>
      </w:r>
      <w:r>
        <w:rPr>
          <w:rFonts w:ascii="Times New Roman" w:eastAsia="宋体" w:hAnsi="Times New Roman" w:hint="eastAsia"/>
          <w:color w:val="auto"/>
          <w:kern w:val="0"/>
          <w:szCs w:val="24"/>
        </w:rPr>
        <w:t>日，上海金融法院作出受理决定。案例受理后，共同启动申请人中相关银行成为案件审理程序中的申请人，上海清算所为被申请人，针对中央对手清算业务违约处置中产生的损失提出相关赔偿请求。</w:t>
      </w:r>
    </w:p>
    <w:p w:rsidR="005B7551" w:rsidRDefault="00252D0C" w:rsidP="000334EE">
      <w:pPr>
        <w:widowControl/>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根据各方达成的无争议事实，上清所与机构</w:t>
      </w:r>
      <w:r>
        <w:rPr>
          <w:rFonts w:ascii="Times New Roman" w:eastAsia="宋体" w:hAnsi="Times New Roman" w:hint="eastAsia"/>
          <w:color w:val="auto"/>
          <w:kern w:val="0"/>
          <w:szCs w:val="24"/>
        </w:rPr>
        <w:t>A</w:t>
      </w:r>
      <w:r>
        <w:rPr>
          <w:rFonts w:ascii="Times New Roman" w:eastAsia="宋体" w:hAnsi="Times New Roman" w:hint="eastAsia"/>
          <w:color w:val="auto"/>
          <w:kern w:val="0"/>
          <w:szCs w:val="24"/>
        </w:rPr>
        <w:t>签订《中央对手方清算协议》（以下简称《清算协议》），由机构</w:t>
      </w:r>
      <w:r>
        <w:rPr>
          <w:rFonts w:ascii="Times New Roman" w:eastAsia="宋体" w:hAnsi="Times New Roman" w:hint="eastAsia"/>
          <w:color w:val="auto"/>
          <w:kern w:val="0"/>
          <w:szCs w:val="24"/>
        </w:rPr>
        <w:t>A</w:t>
      </w:r>
      <w:r>
        <w:rPr>
          <w:rFonts w:ascii="Times New Roman" w:eastAsia="宋体" w:hAnsi="Times New Roman" w:hint="eastAsia"/>
          <w:color w:val="auto"/>
          <w:kern w:val="0"/>
          <w:szCs w:val="24"/>
        </w:rPr>
        <w:t>作为普通清算会员参与上清所中央对手方清算业务。《清算协议》约定，机构</w:t>
      </w:r>
      <w:r>
        <w:rPr>
          <w:rFonts w:ascii="Times New Roman" w:eastAsia="宋体" w:hAnsi="Times New Roman" w:hint="eastAsia"/>
          <w:color w:val="auto"/>
          <w:kern w:val="0"/>
          <w:szCs w:val="24"/>
        </w:rPr>
        <w:t>A</w:t>
      </w:r>
      <w:r>
        <w:rPr>
          <w:rFonts w:ascii="Times New Roman" w:eastAsia="宋体" w:hAnsi="Times New Roman" w:hint="eastAsia"/>
          <w:color w:val="auto"/>
          <w:kern w:val="0"/>
          <w:szCs w:val="24"/>
        </w:rPr>
        <w:t>接受并同意遵守上清所已发布的规则及其修改和补充，如发生违约，上清所有权依据清算所规则进行违约处置。后机构</w:t>
      </w:r>
      <w:r>
        <w:rPr>
          <w:rFonts w:ascii="Times New Roman" w:eastAsia="宋体" w:hAnsi="Times New Roman" w:hint="eastAsia"/>
          <w:color w:val="auto"/>
          <w:kern w:val="0"/>
          <w:szCs w:val="24"/>
        </w:rPr>
        <w:t>A</w:t>
      </w:r>
      <w:r>
        <w:rPr>
          <w:rFonts w:ascii="Times New Roman" w:eastAsia="宋体" w:hAnsi="Times New Roman" w:hint="eastAsia"/>
          <w:color w:val="auto"/>
          <w:kern w:val="0"/>
          <w:szCs w:val="24"/>
        </w:rPr>
        <w:t>欠缴保证金违约，上清所依据清算所规则对机构</w:t>
      </w:r>
      <w:r>
        <w:rPr>
          <w:rFonts w:ascii="Times New Roman" w:eastAsia="宋体" w:hAnsi="Times New Roman" w:hint="eastAsia"/>
          <w:color w:val="auto"/>
          <w:kern w:val="0"/>
          <w:szCs w:val="24"/>
        </w:rPr>
        <w:t>A</w:t>
      </w:r>
      <w:r>
        <w:rPr>
          <w:rFonts w:ascii="Times New Roman" w:eastAsia="宋体" w:hAnsi="Times New Roman" w:hint="eastAsia"/>
          <w:color w:val="auto"/>
          <w:kern w:val="0"/>
          <w:szCs w:val="24"/>
        </w:rPr>
        <w:t>作出永久性违约认定，并启动违约处置，将机构</w:t>
      </w:r>
      <w:r>
        <w:rPr>
          <w:rFonts w:ascii="Times New Roman" w:eastAsia="宋体" w:hAnsi="Times New Roman" w:hint="eastAsia"/>
          <w:color w:val="auto"/>
          <w:kern w:val="0"/>
          <w:szCs w:val="24"/>
        </w:rPr>
        <w:t>A</w:t>
      </w:r>
      <w:r>
        <w:rPr>
          <w:rFonts w:ascii="Times New Roman" w:eastAsia="宋体" w:hAnsi="Times New Roman" w:hint="eastAsia"/>
          <w:color w:val="auto"/>
          <w:kern w:val="0"/>
          <w:szCs w:val="24"/>
        </w:rPr>
        <w:t>持仓衍生品的头寸进行分割、对冲、拍卖，由此产生的处置损失由机构</w:t>
      </w:r>
      <w:r>
        <w:rPr>
          <w:rFonts w:ascii="Times New Roman" w:eastAsia="宋体" w:hAnsi="Times New Roman" w:hint="eastAsia"/>
          <w:color w:val="auto"/>
          <w:kern w:val="0"/>
          <w:szCs w:val="24"/>
        </w:rPr>
        <w:t>A</w:t>
      </w:r>
      <w:r>
        <w:rPr>
          <w:rFonts w:ascii="Times New Roman" w:eastAsia="宋体" w:hAnsi="Times New Roman" w:hint="eastAsia"/>
          <w:color w:val="auto"/>
          <w:kern w:val="0"/>
          <w:szCs w:val="24"/>
        </w:rPr>
        <w:t>承担。机构</w:t>
      </w:r>
      <w:r>
        <w:rPr>
          <w:rFonts w:ascii="Times New Roman" w:eastAsia="宋体" w:hAnsi="Times New Roman" w:hint="eastAsia"/>
          <w:color w:val="auto"/>
          <w:kern w:val="0"/>
          <w:szCs w:val="24"/>
        </w:rPr>
        <w:t>A</w:t>
      </w:r>
      <w:r>
        <w:rPr>
          <w:rFonts w:ascii="Times New Roman" w:eastAsia="宋体" w:hAnsi="Times New Roman" w:hint="eastAsia"/>
          <w:color w:val="auto"/>
          <w:kern w:val="0"/>
          <w:szCs w:val="24"/>
        </w:rPr>
        <w:t>提出，上清所违约处置相关规则未尽到提示说明义务，后续的规则修改属于重大修</w:t>
      </w:r>
      <w:r>
        <w:rPr>
          <w:rFonts w:ascii="Times New Roman" w:eastAsia="宋体" w:hAnsi="Times New Roman" w:hint="eastAsia"/>
          <w:color w:val="auto"/>
          <w:kern w:val="0"/>
          <w:szCs w:val="24"/>
        </w:rPr>
        <w:t>改，未报监管部门审批，应属无效。具体处置时，未实现对冲期限最优、价格最佳，扩大了损失，主张上清所赔偿损失。</w:t>
      </w:r>
    </w:p>
    <w:p w:rsidR="005B7551" w:rsidRDefault="00252D0C" w:rsidP="000334EE">
      <w:pPr>
        <w:widowControl/>
        <w:tabs>
          <w:tab w:val="left" w:pos="426"/>
        </w:tabs>
        <w:adjustRightInd w:val="0"/>
        <w:snapToGrid w:val="0"/>
        <w:spacing w:afterLines="50" w:line="360" w:lineRule="auto"/>
        <w:ind w:firstLineChars="200" w:firstLine="480"/>
        <w:rPr>
          <w:rFonts w:ascii="Times New Roman" w:eastAsia="宋体" w:hAnsi="Times New Roman"/>
          <w:color w:val="auto"/>
          <w:kern w:val="0"/>
          <w:szCs w:val="24"/>
        </w:rPr>
      </w:pPr>
      <w:r>
        <w:rPr>
          <w:rFonts w:ascii="Times New Roman" w:eastAsia="宋体" w:hAnsi="Times New Roman" w:hint="eastAsia"/>
          <w:color w:val="auto"/>
          <w:kern w:val="0"/>
          <w:szCs w:val="24"/>
        </w:rPr>
        <w:t>2022</w:t>
      </w:r>
      <w:r>
        <w:rPr>
          <w:rFonts w:ascii="Times New Roman" w:eastAsia="宋体" w:hAnsi="Times New Roman" w:hint="eastAsia"/>
          <w:color w:val="auto"/>
          <w:kern w:val="0"/>
          <w:szCs w:val="24"/>
        </w:rPr>
        <w:t>年</w:t>
      </w:r>
      <w:r>
        <w:rPr>
          <w:rFonts w:ascii="Times New Roman" w:eastAsia="宋体" w:hAnsi="Times New Roman" w:hint="eastAsia"/>
          <w:color w:val="auto"/>
          <w:kern w:val="0"/>
          <w:szCs w:val="24"/>
        </w:rPr>
        <w:t>12</w:t>
      </w:r>
      <w:r>
        <w:rPr>
          <w:rFonts w:ascii="Times New Roman" w:eastAsia="宋体" w:hAnsi="Times New Roman" w:hint="eastAsia"/>
          <w:color w:val="auto"/>
          <w:kern w:val="0"/>
          <w:szCs w:val="24"/>
        </w:rPr>
        <w:t>月</w:t>
      </w:r>
      <w:r>
        <w:rPr>
          <w:rFonts w:ascii="Times New Roman" w:eastAsia="宋体" w:hAnsi="Times New Roman" w:hint="eastAsia"/>
          <w:color w:val="auto"/>
          <w:kern w:val="0"/>
          <w:szCs w:val="24"/>
        </w:rPr>
        <w:t>12</w:t>
      </w:r>
      <w:r>
        <w:rPr>
          <w:rFonts w:ascii="Times New Roman" w:eastAsia="宋体" w:hAnsi="Times New Roman" w:hint="eastAsia"/>
          <w:color w:val="auto"/>
          <w:kern w:val="0"/>
          <w:szCs w:val="24"/>
        </w:rPr>
        <w:t>日，上海金融法院公开开庭审理了案件。</w:t>
      </w:r>
    </w:p>
    <w:p w:rsidR="005B7551" w:rsidRDefault="00252D0C" w:rsidP="000334EE">
      <w:pPr>
        <w:pStyle w:val="a6"/>
        <w:numPr>
          <w:ilvl w:val="0"/>
          <w:numId w:val="4"/>
        </w:numPr>
        <w:shd w:val="clear" w:color="auto" w:fill="FFFFFF"/>
        <w:tabs>
          <w:tab w:val="left" w:pos="0"/>
        </w:tabs>
        <w:spacing w:afterLines="50" w:line="360" w:lineRule="auto"/>
        <w:ind w:left="0" w:firstLine="482"/>
        <w:jc w:val="both"/>
        <w:rPr>
          <w:rFonts w:ascii="Times New Roman" w:hAnsi="Times New Roman" w:cs="Times New Roman"/>
          <w:color w:val="000000"/>
        </w:rPr>
      </w:pPr>
      <w:r>
        <w:rPr>
          <w:rFonts w:ascii="Times New Roman" w:hAnsi="Times New Roman" w:cs="Times New Roman" w:hint="eastAsia"/>
          <w:color w:val="000000"/>
        </w:rPr>
        <w:lastRenderedPageBreak/>
        <w:t>争议焦点</w:t>
      </w:r>
    </w:p>
    <w:p w:rsidR="005B7551" w:rsidRDefault="00252D0C">
      <w:pPr>
        <w:pStyle w:val="a6"/>
        <w:spacing w:line="360" w:lineRule="auto"/>
        <w:ind w:firstLineChars="200" w:firstLine="480"/>
        <w:rPr>
          <w:rFonts w:ascii="Times New Roman" w:hAnsi="Times New Roman" w:cs="Times New Roman"/>
        </w:rPr>
      </w:pPr>
      <w:r>
        <w:rPr>
          <w:rFonts w:ascii="Times New Roman" w:hAnsi="Times New Roman" w:cs="Times New Roman"/>
        </w:rPr>
        <w:t>该案主要涉及两个争议焦点：</w:t>
      </w:r>
      <w:r>
        <w:rPr>
          <w:rFonts w:ascii="Times New Roman" w:hAnsi="Times New Roman" w:cs="Times New Roman" w:hint="eastAsia"/>
        </w:rPr>
        <w:t>第一，上清所相关规则对机构</w:t>
      </w:r>
      <w:r>
        <w:rPr>
          <w:rFonts w:ascii="Times New Roman" w:hAnsi="Times New Roman" w:cs="Times New Roman" w:hint="eastAsia"/>
        </w:rPr>
        <w:t>A</w:t>
      </w:r>
      <w:r>
        <w:rPr>
          <w:rFonts w:ascii="Times New Roman" w:hAnsi="Times New Roman" w:cs="Times New Roman" w:hint="eastAsia"/>
        </w:rPr>
        <w:t>是否发生效力</w:t>
      </w:r>
      <w:r>
        <w:rPr>
          <w:rFonts w:ascii="Times New Roman" w:hAnsi="Times New Roman" w:cs="Times New Roman" w:hint="eastAsia"/>
        </w:rPr>
        <w:t>。</w:t>
      </w:r>
      <w:r>
        <w:rPr>
          <w:rFonts w:ascii="Times New Roman" w:hAnsi="Times New Roman" w:cs="Times New Roman" w:hint="eastAsia"/>
        </w:rPr>
        <w:t>相关规则包括《银行间市场清算所股份有限公司集中清算业务规则》</w:t>
      </w:r>
      <w:r>
        <w:rPr>
          <w:rFonts w:ascii="Times New Roman" w:hAnsi="Times New Roman" w:cs="Times New Roman"/>
        </w:rPr>
        <w:t>（</w:t>
      </w:r>
      <w:r>
        <w:rPr>
          <w:rFonts w:ascii="Times New Roman" w:hAnsi="Times New Roman" w:cs="Times New Roman" w:hint="eastAsia"/>
        </w:rPr>
        <w:t>以下简称《业务规则》）</w:t>
      </w:r>
      <w:r>
        <w:rPr>
          <w:rFonts w:ascii="Times New Roman" w:hAnsi="Times New Roman" w:cs="Times New Roman" w:hint="eastAsia"/>
        </w:rPr>
        <w:t>、</w:t>
      </w:r>
      <w:r>
        <w:rPr>
          <w:rFonts w:ascii="Times New Roman" w:hAnsi="Times New Roman" w:cs="Times New Roman" w:hint="eastAsia"/>
        </w:rPr>
        <w:t>《银行间市场清算所股份有限公司集中清算业务指南》（第八版，以下简称《业务指南》）</w:t>
      </w:r>
      <w:r>
        <w:rPr>
          <w:rFonts w:ascii="Times New Roman" w:hAnsi="Times New Roman" w:cs="Times New Roman" w:hint="eastAsia"/>
        </w:rPr>
        <w:t>、</w:t>
      </w:r>
      <w:r>
        <w:rPr>
          <w:rFonts w:ascii="Times New Roman" w:hAnsi="Times New Roman" w:cs="Times New Roman" w:hint="eastAsia"/>
        </w:rPr>
        <w:t>《银行间市场清算所股份有限公司集中清算业务违约处置指引》（第二版，以下简称《违约处置指引》）</w:t>
      </w:r>
      <w:r>
        <w:rPr>
          <w:rFonts w:ascii="Times New Roman" w:hAnsi="Times New Roman" w:cs="Times New Roman" w:hint="eastAsia"/>
        </w:rPr>
        <w:t>、</w:t>
      </w:r>
      <w:r>
        <w:rPr>
          <w:rFonts w:ascii="Times New Roman" w:hAnsi="Times New Roman" w:cs="Times New Roman" w:hint="eastAsia"/>
        </w:rPr>
        <w:t>《银行间市场清算所股份有限公司违约处置专家组工作章程》（第二版，以下简称《专家组工作章程》）</w:t>
      </w:r>
      <w:r>
        <w:rPr>
          <w:rFonts w:ascii="Times New Roman" w:hAnsi="Times New Roman" w:cs="Times New Roman" w:hint="eastAsia"/>
        </w:rPr>
        <w:t>；</w:t>
      </w:r>
      <w:r>
        <w:rPr>
          <w:rFonts w:ascii="Times New Roman" w:hAnsi="Times New Roman" w:cs="Times New Roman" w:hint="eastAsia"/>
        </w:rPr>
        <w:t>其中《业务指南》《违约处置指引》及《专家组工作章程》合称为《违约处置细则三文件》。第二，上清所的违约处置行为是否具有合理性</w:t>
      </w:r>
      <w:r>
        <w:rPr>
          <w:rFonts w:ascii="Times New Roman" w:hAnsi="Times New Roman" w:cs="Times New Roman"/>
        </w:rPr>
        <w:t>。</w:t>
      </w:r>
    </w:p>
    <w:p w:rsidR="005B7551" w:rsidRDefault="00252D0C">
      <w:pPr>
        <w:pStyle w:val="a6"/>
        <w:spacing w:line="360" w:lineRule="auto"/>
        <w:ind w:firstLineChars="200" w:firstLine="480"/>
        <w:rPr>
          <w:rFonts w:ascii="Times New Roman" w:hAnsi="Times New Roman" w:cs="Times New Roman"/>
        </w:rPr>
      </w:pPr>
      <w:r>
        <w:rPr>
          <w:rFonts w:ascii="Times New Roman" w:hAnsi="Times New Roman" w:cs="Times New Roman" w:hint="eastAsia"/>
        </w:rPr>
        <w:t>关于上清所相关规则对机构</w:t>
      </w:r>
      <w:r>
        <w:rPr>
          <w:rFonts w:ascii="Times New Roman" w:hAnsi="Times New Roman" w:cs="Times New Roman" w:hint="eastAsia"/>
        </w:rPr>
        <w:t>A</w:t>
      </w:r>
      <w:r>
        <w:rPr>
          <w:rFonts w:ascii="Times New Roman" w:hAnsi="Times New Roman" w:cs="Times New Roman" w:hint="eastAsia"/>
        </w:rPr>
        <w:t>是否发生效力这一争议焦点，审理庭认为，应当充分考虑我国场外衍生品中央对手方机制的运行特点。综合考量上清所与清算会员在合约替代、多边集中净额清算、市场准入和资质持续监测、信用和流动性风险管理、违约处置等机制中形成的法律关系，中央对手方设立的主要目的在于处理交易对手方违</w:t>
      </w:r>
      <w:r>
        <w:rPr>
          <w:rFonts w:ascii="Times New Roman" w:hAnsi="Times New Roman" w:cs="Times New Roman" w:hint="eastAsia"/>
        </w:rPr>
        <w:t>约带来的风险；前述各项机制为实现中央对手方清算制度目的、维持集中清算机制正常运行所必须；为实施前述各项机制，中央对手方清算所规则需对所有清算会员一体适用。</w:t>
      </w:r>
    </w:p>
    <w:p w:rsidR="005B7551" w:rsidRDefault="00252D0C">
      <w:pPr>
        <w:pStyle w:val="a6"/>
        <w:spacing w:line="360" w:lineRule="auto"/>
        <w:ind w:firstLineChars="200" w:firstLine="480"/>
        <w:rPr>
          <w:rFonts w:ascii="Times New Roman" w:hAnsi="Times New Roman" w:cs="Times New Roman"/>
        </w:rPr>
      </w:pPr>
      <w:r>
        <w:rPr>
          <w:rFonts w:ascii="Times New Roman" w:hAnsi="Times New Roman" w:cs="Times New Roman" w:hint="eastAsia"/>
        </w:rPr>
        <w:t>根据《民法典》《中华人民共和国期货和衍生品法》以及支付结算体系委员会及国际证监会组织联合发布的《金融市场基础设施原则》（简称</w:t>
      </w:r>
      <w:r>
        <w:rPr>
          <w:rFonts w:ascii="Times New Roman" w:hAnsi="Times New Roman" w:cs="Times New Roman" w:hint="eastAsia"/>
        </w:rPr>
        <w:t>PFMI</w:t>
      </w:r>
      <w:r>
        <w:rPr>
          <w:rFonts w:ascii="Times New Roman" w:hAnsi="Times New Roman" w:cs="Times New Roman" w:hint="eastAsia"/>
        </w:rPr>
        <w:t>）相关要求经过监管的明确指令并在我国场外衍生品集中清算领域长期实践所形成的惯例，审理庭认为，《业务规则》《违约处置细则三文件》要对包括机构</w:t>
      </w:r>
      <w:r>
        <w:rPr>
          <w:rFonts w:ascii="Times New Roman" w:hAnsi="Times New Roman" w:cs="Times New Roman" w:hint="eastAsia"/>
        </w:rPr>
        <w:t>A</w:t>
      </w:r>
      <w:r>
        <w:rPr>
          <w:rFonts w:ascii="Times New Roman" w:hAnsi="Times New Roman" w:cs="Times New Roman" w:hint="eastAsia"/>
        </w:rPr>
        <w:t>在内的清算会员产生法律拘束力，需具备四项条件：（一）向清算会员进行合理告知；（二）清</w:t>
      </w:r>
      <w:r>
        <w:rPr>
          <w:rFonts w:ascii="Times New Roman" w:hAnsi="Times New Roman" w:cs="Times New Roman" w:hint="eastAsia"/>
        </w:rPr>
        <w:t>算会员同意遵守规则；（三）对于需经监管批准方能生效的规则，应当获得监管部门的批准；（四）规则内容公平合理。</w:t>
      </w:r>
      <w:r>
        <w:rPr>
          <w:rFonts w:ascii="Times New Roman" w:hAnsi="Times New Roman" w:cs="Times New Roman" w:hint="eastAsia"/>
        </w:rPr>
        <w:t>因此，</w:t>
      </w:r>
      <w:r>
        <w:rPr>
          <w:rFonts w:ascii="Times New Roman" w:hAnsi="Times New Roman" w:cs="Times New Roman" w:hint="eastAsia"/>
        </w:rPr>
        <w:t>对于第一个争议焦点，审理庭认为，《业务规则》《违约处置细则三文件》应对机构</w:t>
      </w:r>
      <w:r>
        <w:rPr>
          <w:rFonts w:ascii="Times New Roman" w:hAnsi="Times New Roman" w:cs="Times New Roman" w:hint="eastAsia"/>
        </w:rPr>
        <w:t>A</w:t>
      </w:r>
      <w:r>
        <w:rPr>
          <w:rFonts w:ascii="Times New Roman" w:hAnsi="Times New Roman" w:cs="Times New Roman" w:hint="eastAsia"/>
        </w:rPr>
        <w:t>发生法律拘束力。</w:t>
      </w:r>
    </w:p>
    <w:p w:rsidR="005B7551" w:rsidRDefault="00252D0C">
      <w:pPr>
        <w:pStyle w:val="a6"/>
        <w:spacing w:line="360" w:lineRule="auto"/>
        <w:ind w:firstLineChars="200" w:firstLine="480"/>
        <w:rPr>
          <w:rFonts w:ascii="Times New Roman" w:hAnsi="Times New Roman" w:cs="Times New Roman"/>
        </w:rPr>
      </w:pPr>
      <w:r>
        <w:rPr>
          <w:rFonts w:ascii="Times New Roman" w:hAnsi="Times New Roman" w:cs="Times New Roman" w:hint="eastAsia"/>
        </w:rPr>
        <w:t>关于上清所的违约处置行为是否具有合理性这一争议焦点，审理庭认为，违约处置行为的合理性应从程序和实体两方面进行判断。程序上，本案违约处置流程符合《业务规则》《违约处置细则三文件》的规定。实体上，法院对于违约处置行为合理性的审查应当限于：处置之时，上清所的违约处置行为是否存在有违诚信的明显不合理之处，而非以处</w:t>
      </w:r>
      <w:r>
        <w:rPr>
          <w:rFonts w:ascii="Times New Roman" w:hAnsi="Times New Roman" w:cs="Times New Roman" w:hint="eastAsia"/>
        </w:rPr>
        <w:t>置之后市场价格的事实变化来判断违约处置结果的最优性。</w:t>
      </w:r>
      <w:r>
        <w:rPr>
          <w:rFonts w:ascii="Times New Roman" w:hAnsi="Times New Roman" w:cs="Times New Roman" w:hint="eastAsia"/>
        </w:rPr>
        <w:t>因此，</w:t>
      </w:r>
      <w:r>
        <w:rPr>
          <w:rFonts w:ascii="Times New Roman" w:hAnsi="Times New Roman" w:cs="Times New Roman" w:hint="eastAsia"/>
        </w:rPr>
        <w:t>对于第二个争议焦点，审理庭认为，上清所采取的违约处置措施不存在明显不合理之处。</w:t>
      </w:r>
    </w:p>
    <w:p w:rsidR="005B7551" w:rsidRDefault="00252D0C">
      <w:pPr>
        <w:pStyle w:val="a6"/>
        <w:spacing w:line="360" w:lineRule="auto"/>
        <w:ind w:firstLineChars="200" w:firstLine="480"/>
        <w:rPr>
          <w:rFonts w:ascii="Times New Roman" w:hAnsi="Times New Roman" w:cs="Times New Roman"/>
        </w:rPr>
      </w:pPr>
      <w:r>
        <w:rPr>
          <w:rFonts w:ascii="Times New Roman" w:hAnsi="Times New Roman" w:cs="Times New Roman" w:hint="eastAsia"/>
        </w:rPr>
        <w:t>审理庭形成如下最终结论：</w:t>
      </w:r>
    </w:p>
    <w:p w:rsidR="005B7551" w:rsidRDefault="00252D0C">
      <w:pPr>
        <w:pStyle w:val="a6"/>
        <w:spacing w:line="360" w:lineRule="auto"/>
        <w:ind w:firstLineChars="200" w:firstLine="480"/>
        <w:rPr>
          <w:rFonts w:ascii="Times New Roman" w:hAnsi="Times New Roman" w:cs="Times New Roman"/>
        </w:rPr>
      </w:pPr>
      <w:r>
        <w:rPr>
          <w:rFonts w:ascii="Times New Roman" w:hAnsi="Times New Roman" w:cs="Times New Roman" w:hint="eastAsia"/>
        </w:rPr>
        <w:lastRenderedPageBreak/>
        <w:t>一、对机构</w:t>
      </w:r>
      <w:r>
        <w:rPr>
          <w:rFonts w:ascii="Times New Roman" w:hAnsi="Times New Roman" w:cs="Times New Roman" w:hint="eastAsia"/>
        </w:rPr>
        <w:t>A</w:t>
      </w:r>
      <w:r>
        <w:rPr>
          <w:rFonts w:ascii="Times New Roman" w:hAnsi="Times New Roman" w:cs="Times New Roman" w:hint="eastAsia"/>
        </w:rPr>
        <w:t>的损害赔偿请求不予支持。</w:t>
      </w:r>
    </w:p>
    <w:p w:rsidR="005B7551" w:rsidRDefault="00252D0C">
      <w:pPr>
        <w:pStyle w:val="a6"/>
        <w:spacing w:line="360" w:lineRule="auto"/>
        <w:ind w:firstLineChars="200" w:firstLine="480"/>
        <w:rPr>
          <w:rFonts w:ascii="Times New Roman" w:hAnsi="Times New Roman" w:cs="Times New Roman"/>
        </w:rPr>
      </w:pPr>
      <w:r>
        <w:rPr>
          <w:rFonts w:ascii="Times New Roman" w:hAnsi="Times New Roman" w:cs="Times New Roman" w:hint="eastAsia"/>
        </w:rPr>
        <w:t>二、机构</w:t>
      </w:r>
      <w:r>
        <w:rPr>
          <w:rFonts w:ascii="Times New Roman" w:hAnsi="Times New Roman" w:cs="Times New Roman" w:hint="eastAsia"/>
        </w:rPr>
        <w:t>A</w:t>
      </w:r>
      <w:r>
        <w:rPr>
          <w:rFonts w:ascii="Times New Roman" w:hAnsi="Times New Roman" w:cs="Times New Roman" w:hint="eastAsia"/>
        </w:rPr>
        <w:t>作为专业金融机构，在申请加入上清所前，应自行查阅了解上清所公布于官网的相关规则。签订《清算协议》时，上清所无需就《业务规则》《违约处置细则三文件》的内容对机构</w:t>
      </w:r>
      <w:r>
        <w:rPr>
          <w:rFonts w:ascii="Times New Roman" w:hAnsi="Times New Roman" w:cs="Times New Roman" w:hint="eastAsia"/>
        </w:rPr>
        <w:t>A</w:t>
      </w:r>
      <w:r>
        <w:rPr>
          <w:rFonts w:ascii="Times New Roman" w:hAnsi="Times New Roman" w:cs="Times New Roman" w:hint="eastAsia"/>
        </w:rPr>
        <w:t>进行提示及说明。</w:t>
      </w:r>
    </w:p>
    <w:p w:rsidR="005B7551" w:rsidRDefault="00252D0C">
      <w:pPr>
        <w:pStyle w:val="a6"/>
        <w:spacing w:line="360" w:lineRule="auto"/>
        <w:ind w:firstLineChars="200" w:firstLine="480"/>
        <w:rPr>
          <w:rFonts w:ascii="Times New Roman" w:hAnsi="Times New Roman" w:cs="Times New Roman"/>
        </w:rPr>
      </w:pPr>
      <w:r>
        <w:rPr>
          <w:rFonts w:ascii="Times New Roman" w:hAnsi="Times New Roman" w:cs="Times New Roman" w:hint="eastAsia"/>
        </w:rPr>
        <w:t>三、上清所制定的规则，在同时符合下列条件的情况下，对清算会员产生法律拘束力：</w:t>
      </w:r>
      <w:r>
        <w:rPr>
          <w:rFonts w:ascii="Times New Roman" w:hAnsi="Times New Roman" w:cs="Times New Roman" w:hint="eastAsia"/>
        </w:rPr>
        <w:t>（一）</w:t>
      </w:r>
      <w:r>
        <w:rPr>
          <w:rFonts w:ascii="Times New Roman" w:hAnsi="Times New Roman" w:cs="Times New Roman" w:hint="eastAsia"/>
        </w:rPr>
        <w:t>规则已向清算会员进行合理告知；</w:t>
      </w:r>
      <w:r>
        <w:rPr>
          <w:rFonts w:ascii="Times New Roman" w:hAnsi="Times New Roman" w:cs="Times New Roman" w:hint="eastAsia"/>
        </w:rPr>
        <w:t>（二）</w:t>
      </w:r>
      <w:r>
        <w:rPr>
          <w:rFonts w:ascii="Times New Roman" w:hAnsi="Times New Roman" w:cs="Times New Roman" w:hint="eastAsia"/>
        </w:rPr>
        <w:t>清算</w:t>
      </w:r>
      <w:r>
        <w:rPr>
          <w:rFonts w:ascii="Times New Roman" w:hAnsi="Times New Roman" w:cs="Times New Roman" w:hint="eastAsia"/>
        </w:rPr>
        <w:t>会员同意遵守规则；</w:t>
      </w:r>
      <w:r>
        <w:rPr>
          <w:rFonts w:ascii="Times New Roman" w:hAnsi="Times New Roman" w:cs="Times New Roman" w:hint="eastAsia"/>
        </w:rPr>
        <w:t>（三）</w:t>
      </w:r>
      <w:r>
        <w:rPr>
          <w:rFonts w:ascii="Times New Roman" w:hAnsi="Times New Roman" w:cs="Times New Roman" w:hint="eastAsia"/>
        </w:rPr>
        <w:t>对于需经监管批准方能生效的规则，应当获得监管部门的批准；</w:t>
      </w:r>
      <w:r>
        <w:rPr>
          <w:rFonts w:ascii="Times New Roman" w:hAnsi="Times New Roman" w:cs="Times New Roman" w:hint="eastAsia"/>
        </w:rPr>
        <w:t>（四）</w:t>
      </w:r>
      <w:r>
        <w:rPr>
          <w:rFonts w:ascii="Times New Roman" w:hAnsi="Times New Roman" w:cs="Times New Roman" w:hint="eastAsia"/>
        </w:rPr>
        <w:t>规则内容公平合理。</w:t>
      </w:r>
    </w:p>
    <w:p w:rsidR="005B7551" w:rsidRDefault="00252D0C">
      <w:pPr>
        <w:pStyle w:val="a6"/>
        <w:spacing w:line="360" w:lineRule="auto"/>
        <w:ind w:firstLineChars="200" w:firstLine="480"/>
        <w:rPr>
          <w:rFonts w:ascii="Times New Roman" w:hAnsi="Times New Roman" w:cs="Times New Roman"/>
        </w:rPr>
      </w:pPr>
      <w:r>
        <w:rPr>
          <w:rFonts w:ascii="Times New Roman" w:hAnsi="Times New Roman" w:cs="Times New Roman" w:hint="eastAsia"/>
        </w:rPr>
        <w:t>四、上清所对已获审批《业务规则》的重大修改，是指对原有《业务规则》内容进行实质性变更，以致影响监管目的的实现。下列情形不应被认定为“重大修改”：</w:t>
      </w:r>
      <w:r>
        <w:rPr>
          <w:rFonts w:ascii="Times New Roman" w:hAnsi="Times New Roman" w:cs="Times New Roman" w:hint="eastAsia"/>
        </w:rPr>
        <w:t>（一）</w:t>
      </w:r>
      <w:r>
        <w:rPr>
          <w:rFonts w:ascii="Times New Roman" w:hAnsi="Times New Roman" w:cs="Times New Roman" w:hint="eastAsia"/>
        </w:rPr>
        <w:t>对《业务规则》的规定进行措辞调整，不改变规则实体内容；</w:t>
      </w:r>
      <w:r>
        <w:rPr>
          <w:rFonts w:ascii="Times New Roman" w:hAnsi="Times New Roman" w:cs="Times New Roman" w:hint="eastAsia"/>
        </w:rPr>
        <w:t>（二）</w:t>
      </w:r>
      <w:r>
        <w:rPr>
          <w:rFonts w:ascii="Times New Roman" w:hAnsi="Times New Roman" w:cs="Times New Roman" w:hint="eastAsia"/>
        </w:rPr>
        <w:t>根据《业务规则》中的原则规定所制定的具有可操作性的细则规定；</w:t>
      </w:r>
      <w:r>
        <w:rPr>
          <w:rFonts w:ascii="Times New Roman" w:hAnsi="Times New Roman" w:cs="Times New Roman" w:hint="eastAsia"/>
        </w:rPr>
        <w:t>（三）</w:t>
      </w:r>
      <w:r>
        <w:rPr>
          <w:rFonts w:ascii="Times New Roman" w:hAnsi="Times New Roman" w:cs="Times New Roman" w:hint="eastAsia"/>
        </w:rPr>
        <w:t>虽对《业务规则》的内容作了变更，但不构成对原规则的根本性改变和偏离；</w:t>
      </w:r>
      <w:r>
        <w:rPr>
          <w:rFonts w:ascii="Times New Roman" w:hAnsi="Times New Roman" w:cs="Times New Roman" w:hint="eastAsia"/>
        </w:rPr>
        <w:t>（四）</w:t>
      </w:r>
      <w:r>
        <w:rPr>
          <w:rFonts w:ascii="Times New Roman" w:hAnsi="Times New Roman" w:cs="Times New Roman" w:hint="eastAsia"/>
        </w:rPr>
        <w:t>规则内容变更或细化没有增加风险或偏离监管目标，而是更好地</w:t>
      </w:r>
      <w:r>
        <w:rPr>
          <w:rFonts w:ascii="Times New Roman" w:hAnsi="Times New Roman" w:cs="Times New Roman" w:hint="eastAsia"/>
        </w:rPr>
        <w:t>控制了风险。</w:t>
      </w:r>
    </w:p>
    <w:p w:rsidR="005B7551" w:rsidRDefault="00252D0C" w:rsidP="000334EE">
      <w:pPr>
        <w:pStyle w:val="a6"/>
        <w:spacing w:afterLines="50" w:line="360" w:lineRule="auto"/>
        <w:ind w:firstLineChars="200" w:firstLine="480"/>
        <w:rPr>
          <w:rFonts w:ascii="Times New Roman" w:hAnsi="Times New Roman" w:cs="Times New Roman"/>
        </w:rPr>
      </w:pPr>
      <w:r>
        <w:rPr>
          <w:rFonts w:ascii="Times New Roman" w:hAnsi="Times New Roman" w:cs="Times New Roman" w:hint="eastAsia"/>
        </w:rPr>
        <w:t>五、上清所实施的违约处置行为，应符合下列要求：</w:t>
      </w:r>
      <w:r>
        <w:rPr>
          <w:rFonts w:ascii="Times New Roman" w:hAnsi="Times New Roman" w:cs="Times New Roman" w:hint="eastAsia"/>
        </w:rPr>
        <w:t>（一）</w:t>
      </w:r>
      <w:r>
        <w:rPr>
          <w:rFonts w:ascii="Times New Roman" w:hAnsi="Times New Roman" w:cs="Times New Roman" w:hint="eastAsia"/>
        </w:rPr>
        <w:t>程序方面，违约处置流程应符合违约处置规则的相关规定；</w:t>
      </w:r>
      <w:r>
        <w:rPr>
          <w:rFonts w:ascii="Times New Roman" w:hAnsi="Times New Roman" w:cs="Times New Roman" w:hint="eastAsia"/>
        </w:rPr>
        <w:t>（二）</w:t>
      </w:r>
      <w:r>
        <w:rPr>
          <w:rFonts w:ascii="Times New Roman" w:hAnsi="Times New Roman" w:cs="Times New Roman" w:hint="eastAsia"/>
        </w:rPr>
        <w:t>实体方面，违约处置以保护上清所及未违约清算会员的利益为优先，上清所在制定和执行违约处置方案时，应遵循诚信原则，以审慎、合理的方式行事。</w:t>
      </w:r>
    </w:p>
    <w:p w:rsidR="005B7551" w:rsidRDefault="00252D0C" w:rsidP="000334EE">
      <w:pPr>
        <w:pStyle w:val="a6"/>
        <w:numPr>
          <w:ilvl w:val="0"/>
          <w:numId w:val="4"/>
        </w:numPr>
        <w:shd w:val="clear" w:color="auto" w:fill="FFFFFF"/>
        <w:tabs>
          <w:tab w:val="left" w:pos="0"/>
        </w:tabs>
        <w:spacing w:afterLines="50" w:line="360" w:lineRule="auto"/>
        <w:ind w:left="0" w:firstLine="482"/>
        <w:jc w:val="both"/>
        <w:rPr>
          <w:rFonts w:ascii="Times New Roman" w:hAnsi="Times New Roman" w:cs="Times New Roman"/>
          <w:color w:val="000000"/>
        </w:rPr>
      </w:pPr>
      <w:r>
        <w:rPr>
          <w:rFonts w:ascii="Times New Roman" w:hAnsi="Times New Roman" w:cs="Times New Roman" w:hint="eastAsia"/>
          <w:color w:val="000000"/>
        </w:rPr>
        <w:t>案件评析</w:t>
      </w:r>
    </w:p>
    <w:p w:rsidR="005B7551" w:rsidRDefault="00252D0C" w:rsidP="000334EE">
      <w:pPr>
        <w:widowControl/>
        <w:tabs>
          <w:tab w:val="left" w:pos="426"/>
        </w:tabs>
        <w:adjustRightInd w:val="0"/>
        <w:snapToGrid w:val="0"/>
        <w:spacing w:afterLines="50" w:line="360" w:lineRule="auto"/>
        <w:ind w:firstLineChars="200" w:firstLine="480"/>
        <w:rPr>
          <w:rFonts w:ascii="Times New Roman" w:eastAsia="宋体" w:hAnsi="Times New Roman"/>
        </w:rPr>
      </w:pPr>
      <w:r>
        <w:rPr>
          <w:rFonts w:ascii="Times New Roman" w:eastAsia="宋体" w:hAnsi="Times New Roman" w:hint="eastAsia"/>
          <w:color w:val="auto"/>
          <w:kern w:val="0"/>
          <w:szCs w:val="24"/>
        </w:rPr>
        <w:t>所谓金融市场案例测试机制，是指金融机构、交易相对方等主体，针对准备开展或正在开展的金融业务中，具有前沿性、亟待法律明确且对金融市场具有重大影响的典型事实与法律问题而可能引发的纠纷，向上海金融法院申请进行案例测试。本案中，</w:t>
      </w:r>
      <w:r>
        <w:rPr>
          <w:rFonts w:ascii="Times New Roman" w:eastAsia="宋体" w:hAnsi="Times New Roman" w:hint="eastAsia"/>
        </w:rPr>
        <w:t>上清所作为中央对手清算机构，制定具体的金融衍生品违约处置规则以及在具体情况下形成处置方案，涉及到金融市场的稳定以及交易相对方的利益。该例测试案例的审理，针对的是违约处置场景中可能引发的法律纠纷，双方当事人结合规则制定、具体处置的各种细节进行挑战与回应，充分发表法律意见，有助于在制度型开放的背景下，进一步完善并提升相关风险处置规则的国际兼容性，对于防范金融市场系统性风险、促进金融市场持续健康发展具有重要意义。</w:t>
      </w:r>
    </w:p>
    <w:p w:rsidR="005B7551" w:rsidRDefault="00252D0C">
      <w:pPr>
        <w:pStyle w:val="1"/>
        <w:widowControl/>
        <w:shd w:val="clear" w:color="auto" w:fill="FFFFFF"/>
        <w:spacing w:beforeAutospacing="0" w:afterAutospacing="0" w:line="360" w:lineRule="auto"/>
        <w:ind w:firstLineChars="200" w:firstLine="420"/>
        <w:rPr>
          <w:rFonts w:ascii="Times New Roman" w:hAnsi="Times New Roman" w:hint="default"/>
          <w:b w:val="0"/>
          <w:bCs w:val="0"/>
          <w:i/>
          <w:iCs/>
          <w:kern w:val="0"/>
          <w:sz w:val="21"/>
          <w:szCs w:val="21"/>
        </w:rPr>
      </w:pPr>
      <w:r>
        <w:rPr>
          <w:rFonts w:ascii="Times New Roman" w:hAnsi="Times New Roman"/>
          <w:b w:val="0"/>
          <w:bCs w:val="0"/>
          <w:i/>
          <w:iCs/>
          <w:kern w:val="0"/>
          <w:sz w:val="21"/>
          <w:szCs w:val="21"/>
        </w:rPr>
        <w:t>以上内容根据上海金融法院公众号文章《全国首例金融市场测试案例司法意见公开宣告！为衍生品市场守正创新提</w:t>
      </w:r>
      <w:r>
        <w:rPr>
          <w:rFonts w:ascii="Times New Roman" w:hAnsi="Times New Roman"/>
          <w:b w:val="0"/>
          <w:bCs w:val="0"/>
          <w:i/>
          <w:iCs/>
          <w:kern w:val="0"/>
          <w:sz w:val="21"/>
          <w:szCs w:val="21"/>
        </w:rPr>
        <w:t>供法律风险压力测试》《首个测试案例案情公开！现征求第三方意见！》整理</w:t>
      </w:r>
    </w:p>
    <w:p w:rsidR="005B7551" w:rsidRDefault="005B7551">
      <w:pPr>
        <w:pStyle w:val="1"/>
        <w:widowControl/>
        <w:shd w:val="clear" w:color="auto" w:fill="FFFFFF"/>
        <w:spacing w:beforeAutospacing="0" w:after="140" w:afterAutospacing="0" w:line="14" w:lineRule="atLeast"/>
        <w:ind w:firstLineChars="200" w:firstLine="420"/>
        <w:rPr>
          <w:rFonts w:ascii="Times New Roman" w:hAnsi="Times New Roman" w:hint="default"/>
          <w:b w:val="0"/>
          <w:bCs w:val="0"/>
          <w:i/>
          <w:iCs/>
          <w:kern w:val="0"/>
          <w:sz w:val="21"/>
          <w:szCs w:val="21"/>
        </w:rPr>
      </w:pPr>
    </w:p>
    <w:sectPr w:rsidR="005B7551" w:rsidSect="000334EE">
      <w:footerReference w:type="default" r:id="rId17"/>
      <w:footerReference w:type="first" r:id="rId18"/>
      <w:pgSz w:w="11906" w:h="16838"/>
      <w:pgMar w:top="993" w:right="1417" w:bottom="851" w:left="1417" w:header="851" w:footer="992" w:gutter="0"/>
      <w:pgNumType w:start="1"/>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2D0C" w:rsidRDefault="00252D0C" w:rsidP="005B7551">
      <w:r>
        <w:separator/>
      </w:r>
    </w:p>
  </w:endnote>
  <w:endnote w:type="continuationSeparator" w:id="0">
    <w:p w:rsidR="00252D0C" w:rsidRDefault="00252D0C" w:rsidP="005B755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Arial Unicode MS"/>
    <w:charset w:val="86"/>
    <w:family w:val="modern"/>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Black">
    <w:panose1 w:val="020B0A04020102020204"/>
    <w:charset w:val="00"/>
    <w:family w:val="swiss"/>
    <w:pitch w:val="variable"/>
    <w:sig w:usb0="00000287" w:usb1="00000000" w:usb2="00000000" w:usb3="00000000" w:csb0="0000009F" w:csb1="00000000"/>
  </w:font>
  <w:font w:name="Times New Roman Regular">
    <w:altName w:val="Times New Roman"/>
    <w:charset w:val="00"/>
    <w:family w:val="auto"/>
    <w:pitch w:val="default"/>
    <w:sig w:usb0="00000000" w:usb1="00000000" w:usb2="00000000" w:usb3="00000000" w:csb0="00000000"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4EE" w:rsidRDefault="000334EE">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7551" w:rsidRDefault="005B7551">
    <w:pPr>
      <w:pStyle w:val="a4"/>
      <w:jc w:val="center"/>
      <w:rPr>
        <w:rFonts w:ascii="Times New Roman" w:eastAsia="宋体" w:hAnsi="Times New Roman"/>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4EE" w:rsidRDefault="000334EE">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7551" w:rsidRDefault="00252D0C">
    <w:pPr>
      <w:pStyle w:val="a4"/>
      <w:jc w:val="center"/>
      <w:rPr>
        <w:rFonts w:ascii="Times New Roman" w:eastAsia="宋体" w:hAnsi="Times New Roman"/>
      </w:rPr>
    </w:pPr>
    <w:r>
      <w:rPr>
        <w:rFonts w:ascii="Times New Roman" w:eastAsia="宋体" w:hAnsi="Times New Roman"/>
        <w:kern w:val="0"/>
        <w:szCs w:val="21"/>
      </w:rPr>
      <w:t>第</w:t>
    </w:r>
    <w:r w:rsidR="005B7551">
      <w:rPr>
        <w:rFonts w:ascii="Times New Roman" w:eastAsia="宋体" w:hAnsi="Times New Roman"/>
        <w:kern w:val="0"/>
        <w:szCs w:val="21"/>
      </w:rPr>
      <w:fldChar w:fldCharType="begin"/>
    </w:r>
    <w:r>
      <w:rPr>
        <w:rFonts w:ascii="Times New Roman" w:eastAsia="宋体" w:hAnsi="Times New Roman"/>
        <w:kern w:val="0"/>
        <w:szCs w:val="21"/>
      </w:rPr>
      <w:instrText xml:space="preserve"> PAGE </w:instrText>
    </w:r>
    <w:r w:rsidR="005B7551">
      <w:rPr>
        <w:rFonts w:ascii="Times New Roman" w:eastAsia="宋体" w:hAnsi="Times New Roman"/>
        <w:kern w:val="0"/>
        <w:szCs w:val="21"/>
      </w:rPr>
      <w:fldChar w:fldCharType="separate"/>
    </w:r>
    <w:r w:rsidR="00184925">
      <w:rPr>
        <w:rFonts w:ascii="Times New Roman" w:eastAsia="宋体" w:hAnsi="Times New Roman"/>
        <w:noProof/>
        <w:kern w:val="0"/>
        <w:szCs w:val="21"/>
      </w:rPr>
      <w:t>11</w:t>
    </w:r>
    <w:r w:rsidR="005B7551">
      <w:rPr>
        <w:rFonts w:ascii="Times New Roman" w:eastAsia="宋体" w:hAnsi="Times New Roman"/>
        <w:kern w:val="0"/>
        <w:szCs w:val="21"/>
      </w:rPr>
      <w:fldChar w:fldCharType="end"/>
    </w:r>
    <w:r>
      <w:rPr>
        <w:rFonts w:ascii="Times New Roman" w:eastAsia="宋体" w:hAnsi="Times New Roman"/>
        <w:kern w:val="0"/>
        <w:szCs w:val="21"/>
      </w:rPr>
      <w:t>页</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7551" w:rsidRDefault="00252D0C">
    <w:pPr>
      <w:jc w:val="center"/>
      <w:rPr>
        <w:rFonts w:ascii="Times New Roman" w:eastAsia="宋体" w:hAnsi="Times New Roman"/>
        <w:sz w:val="18"/>
        <w:szCs w:val="18"/>
      </w:rPr>
    </w:pPr>
    <w:r>
      <w:rPr>
        <w:rStyle w:val="a8"/>
        <w:rFonts w:ascii="Times New Roman" w:eastAsia="宋体" w:hAnsi="Times New Roman"/>
        <w:sz w:val="18"/>
        <w:szCs w:val="18"/>
      </w:rPr>
      <w:t>第</w:t>
    </w:r>
    <w:r w:rsidR="005B7551">
      <w:rPr>
        <w:rFonts w:ascii="Times New Roman" w:eastAsia="宋体" w:hAnsi="Times New Roman"/>
        <w:sz w:val="18"/>
        <w:szCs w:val="18"/>
      </w:rPr>
      <w:fldChar w:fldCharType="begin"/>
    </w:r>
    <w:r>
      <w:rPr>
        <w:rStyle w:val="a8"/>
        <w:rFonts w:ascii="Times New Roman" w:eastAsia="宋体" w:hAnsi="Times New Roman"/>
        <w:sz w:val="18"/>
        <w:szCs w:val="18"/>
      </w:rPr>
      <w:instrText xml:space="preserve"> PAGE </w:instrText>
    </w:r>
    <w:r w:rsidR="005B7551">
      <w:rPr>
        <w:rFonts w:ascii="Times New Roman" w:eastAsia="宋体" w:hAnsi="Times New Roman"/>
        <w:sz w:val="18"/>
        <w:szCs w:val="18"/>
      </w:rPr>
      <w:fldChar w:fldCharType="separate"/>
    </w:r>
    <w:r w:rsidR="00184925">
      <w:rPr>
        <w:rStyle w:val="a8"/>
        <w:rFonts w:ascii="Times New Roman" w:eastAsia="宋体" w:hAnsi="Times New Roman"/>
        <w:noProof/>
        <w:sz w:val="18"/>
        <w:szCs w:val="18"/>
      </w:rPr>
      <w:t>1</w:t>
    </w:r>
    <w:r w:rsidR="005B7551">
      <w:rPr>
        <w:rFonts w:ascii="Times New Roman" w:eastAsia="宋体" w:hAnsi="Times New Roman"/>
        <w:sz w:val="18"/>
        <w:szCs w:val="18"/>
      </w:rPr>
      <w:fldChar w:fldCharType="end"/>
    </w:r>
    <w:r>
      <w:rPr>
        <w:rFonts w:ascii="Times New Roman" w:eastAsia="宋体" w:hAnsi="Times New Roman"/>
        <w:sz w:val="18"/>
        <w:szCs w:val="18"/>
      </w:rPr>
      <w:t xml:space="preserve"> </w:t>
    </w:r>
    <w:r>
      <w:rPr>
        <w:rStyle w:val="a8"/>
        <w:rFonts w:ascii="Times New Roman" w:eastAsia="宋体" w:hAnsi="Times New Roman"/>
        <w:sz w:val="18"/>
        <w:szCs w:val="18"/>
      </w:rPr>
      <w:t>页</w:t>
    </w:r>
  </w:p>
  <w:p w:rsidR="005B7551" w:rsidRDefault="005B7551">
    <w:pPr>
      <w:pStyle w:val="a4"/>
      <w:rPr>
        <w:rFonts w:ascii="Times New Roman" w:eastAsia="宋体" w:hAnsi="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2D0C" w:rsidRDefault="00252D0C" w:rsidP="005B7551">
      <w:r>
        <w:separator/>
      </w:r>
    </w:p>
  </w:footnote>
  <w:footnote w:type="continuationSeparator" w:id="0">
    <w:p w:rsidR="00252D0C" w:rsidRDefault="00252D0C" w:rsidP="005B75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4EE" w:rsidRDefault="000334EE">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7551" w:rsidRDefault="005B7551">
    <w:pPr>
      <w:pStyle w:val="a5"/>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4EE" w:rsidRDefault="000334EE">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EA12928"/>
    <w:multiLevelType w:val="singleLevel"/>
    <w:tmpl w:val="9EA12928"/>
    <w:lvl w:ilvl="0">
      <w:start w:val="1"/>
      <w:numFmt w:val="decimal"/>
      <w:suff w:val="nothing"/>
      <w:lvlText w:val="（%1）"/>
      <w:lvlJc w:val="left"/>
      <w:pPr>
        <w:ind w:left="480"/>
      </w:pPr>
    </w:lvl>
  </w:abstractNum>
  <w:abstractNum w:abstractNumId="1">
    <w:nsid w:val="0000000B"/>
    <w:multiLevelType w:val="multilevel"/>
    <w:tmpl w:val="0000000B"/>
    <w:lvl w:ilvl="0">
      <w:start w:val="1"/>
      <w:numFmt w:val="bullet"/>
      <w:lvlText w:val=""/>
      <w:lvlJc w:val="left"/>
      <w:pPr>
        <w:tabs>
          <w:tab w:val="left" w:pos="420"/>
        </w:tabs>
        <w:ind w:left="420" w:hanging="420"/>
      </w:pPr>
      <w:rPr>
        <w:rFonts w:ascii="Wingdings" w:hAnsi="Wingdings" w:hint="default"/>
      </w:rPr>
    </w:lvl>
    <w:lvl w:ilvl="1">
      <w:start w:val="1"/>
      <w:numFmt w:val="bullet"/>
      <w:lvlText w:val=""/>
      <w:lvlJc w:val="left"/>
      <w:pPr>
        <w:tabs>
          <w:tab w:val="left" w:pos="846"/>
        </w:tabs>
        <w:ind w:left="846"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2">
    <w:nsid w:val="5EB0CC1D"/>
    <w:multiLevelType w:val="singleLevel"/>
    <w:tmpl w:val="5EB0CC1D"/>
    <w:lvl w:ilvl="0">
      <w:start w:val="1"/>
      <w:numFmt w:val="bullet"/>
      <w:lvlText w:val=""/>
      <w:lvlJc w:val="left"/>
      <w:pPr>
        <w:ind w:left="0" w:firstLine="0"/>
      </w:pPr>
      <w:rPr>
        <w:rFonts w:ascii="Wingdings" w:hAnsi="Wingdings" w:hint="default"/>
      </w:rPr>
    </w:lvl>
  </w:abstractNum>
  <w:abstractNum w:abstractNumId="3">
    <w:nsid w:val="674B9FE8"/>
    <w:multiLevelType w:val="singleLevel"/>
    <w:tmpl w:val="674B9FE8"/>
    <w:lvl w:ilvl="0">
      <w:start w:val="1"/>
      <w:numFmt w:val="bullet"/>
      <w:lvlText w:val=""/>
      <w:lvlJc w:val="left"/>
      <w:pPr>
        <w:ind w:left="420" w:hanging="42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defaultTabStop w:val="420"/>
  <w:drawingGridVerticalSpacing w:val="156"/>
  <w:noPunctuationKerning/>
  <w:characterSpacingControl w:val="compressPunctuation"/>
  <w:hdrShapeDefaults>
    <o:shapedefaults v:ext="edit" spidmax="3074"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ODFjMmZlOThhNjIxMWYyZmUxM2RmMmZmODllYTc0NDEifQ=="/>
  </w:docVars>
  <w:rsids>
    <w:rsidRoot w:val="18926628"/>
    <w:rsid w:val="CDB6ED08"/>
    <w:rsid w:val="D3BB78B9"/>
    <w:rsid w:val="D99EC3FC"/>
    <w:rsid w:val="DBBDC80D"/>
    <w:rsid w:val="DBEDBCA8"/>
    <w:rsid w:val="DDBF0F87"/>
    <w:rsid w:val="DDF77862"/>
    <w:rsid w:val="DEBE8B4A"/>
    <w:rsid w:val="DED735D3"/>
    <w:rsid w:val="DEEBE4BB"/>
    <w:rsid w:val="DEF32669"/>
    <w:rsid w:val="DEFE97D7"/>
    <w:rsid w:val="DFAC8DE5"/>
    <w:rsid w:val="DFDF693A"/>
    <w:rsid w:val="DFF7A5EE"/>
    <w:rsid w:val="EBAB4BA3"/>
    <w:rsid w:val="EBAE51F9"/>
    <w:rsid w:val="EBFD0873"/>
    <w:rsid w:val="ECEDF41E"/>
    <w:rsid w:val="ED5F1F7F"/>
    <w:rsid w:val="EDBFE341"/>
    <w:rsid w:val="EECB8FE4"/>
    <w:rsid w:val="EEFD1E22"/>
    <w:rsid w:val="EF7F5857"/>
    <w:rsid w:val="EFE82262"/>
    <w:rsid w:val="F0F68DF5"/>
    <w:rsid w:val="F11D84C4"/>
    <w:rsid w:val="F2FFD2E9"/>
    <w:rsid w:val="F3AF402A"/>
    <w:rsid w:val="F3DF5224"/>
    <w:rsid w:val="F49FDF11"/>
    <w:rsid w:val="F5FF493E"/>
    <w:rsid w:val="F7730FC3"/>
    <w:rsid w:val="F93FE360"/>
    <w:rsid w:val="FA7B4AC4"/>
    <w:rsid w:val="FB6EF04A"/>
    <w:rsid w:val="FB778A39"/>
    <w:rsid w:val="FB96A69D"/>
    <w:rsid w:val="FBBF82D6"/>
    <w:rsid w:val="FBFFD3AE"/>
    <w:rsid w:val="FDBB3DA2"/>
    <w:rsid w:val="FEBCCA0C"/>
    <w:rsid w:val="FEDFDFC4"/>
    <w:rsid w:val="FEF76B46"/>
    <w:rsid w:val="FEFB228A"/>
    <w:rsid w:val="FEFF18BE"/>
    <w:rsid w:val="FF45A4B5"/>
    <w:rsid w:val="FF5F1ABD"/>
    <w:rsid w:val="FF76346C"/>
    <w:rsid w:val="FF9F0CC3"/>
    <w:rsid w:val="FFDEFFB9"/>
    <w:rsid w:val="FFF3225C"/>
    <w:rsid w:val="FFFF320B"/>
    <w:rsid w:val="000334EE"/>
    <w:rsid w:val="00184925"/>
    <w:rsid w:val="00252D0C"/>
    <w:rsid w:val="0055574E"/>
    <w:rsid w:val="005B7551"/>
    <w:rsid w:val="006E05BE"/>
    <w:rsid w:val="012D0479"/>
    <w:rsid w:val="01347A59"/>
    <w:rsid w:val="01915903"/>
    <w:rsid w:val="01B34E22"/>
    <w:rsid w:val="02BC7D06"/>
    <w:rsid w:val="0328539C"/>
    <w:rsid w:val="033C0E47"/>
    <w:rsid w:val="03575C81"/>
    <w:rsid w:val="03B409DD"/>
    <w:rsid w:val="03D66E79"/>
    <w:rsid w:val="03EF5BCA"/>
    <w:rsid w:val="0442423B"/>
    <w:rsid w:val="04463D2B"/>
    <w:rsid w:val="04553F6E"/>
    <w:rsid w:val="05863DE1"/>
    <w:rsid w:val="059E7453"/>
    <w:rsid w:val="07210964"/>
    <w:rsid w:val="076F17EB"/>
    <w:rsid w:val="07DC5CAB"/>
    <w:rsid w:val="08030185"/>
    <w:rsid w:val="085602B5"/>
    <w:rsid w:val="085B58CB"/>
    <w:rsid w:val="08C47915"/>
    <w:rsid w:val="08E367C9"/>
    <w:rsid w:val="08F24482"/>
    <w:rsid w:val="09D678FF"/>
    <w:rsid w:val="0BAD643E"/>
    <w:rsid w:val="0BD936D7"/>
    <w:rsid w:val="0C1741FF"/>
    <w:rsid w:val="0C764F62"/>
    <w:rsid w:val="0C886D61"/>
    <w:rsid w:val="0D350DE1"/>
    <w:rsid w:val="0D9A0C44"/>
    <w:rsid w:val="0DB31D06"/>
    <w:rsid w:val="0E06277D"/>
    <w:rsid w:val="0F4946D0"/>
    <w:rsid w:val="0F7A6F7F"/>
    <w:rsid w:val="0F7B6853"/>
    <w:rsid w:val="0FE64614"/>
    <w:rsid w:val="10086339"/>
    <w:rsid w:val="101E3DAE"/>
    <w:rsid w:val="10DD5A17"/>
    <w:rsid w:val="114C5A55"/>
    <w:rsid w:val="11CE5360"/>
    <w:rsid w:val="12AF5192"/>
    <w:rsid w:val="130C6140"/>
    <w:rsid w:val="133438E9"/>
    <w:rsid w:val="136C2A38"/>
    <w:rsid w:val="13917A66"/>
    <w:rsid w:val="13983E78"/>
    <w:rsid w:val="145533A6"/>
    <w:rsid w:val="14891A12"/>
    <w:rsid w:val="14B7032D"/>
    <w:rsid w:val="151D05C9"/>
    <w:rsid w:val="155003B3"/>
    <w:rsid w:val="15981F0D"/>
    <w:rsid w:val="15B341F2"/>
    <w:rsid w:val="15E11B06"/>
    <w:rsid w:val="160878F7"/>
    <w:rsid w:val="16A2529B"/>
    <w:rsid w:val="16FB6BF7"/>
    <w:rsid w:val="18926628"/>
    <w:rsid w:val="18EE62E8"/>
    <w:rsid w:val="19393A07"/>
    <w:rsid w:val="1972609C"/>
    <w:rsid w:val="1ABF7F3C"/>
    <w:rsid w:val="1AD05CA5"/>
    <w:rsid w:val="1B2304CB"/>
    <w:rsid w:val="1B430B6D"/>
    <w:rsid w:val="1BBF0859"/>
    <w:rsid w:val="1BCA4DEA"/>
    <w:rsid w:val="1BF44E78"/>
    <w:rsid w:val="1C4526C3"/>
    <w:rsid w:val="1C4E6987"/>
    <w:rsid w:val="1C5D7A0C"/>
    <w:rsid w:val="1D053F27"/>
    <w:rsid w:val="1D350989"/>
    <w:rsid w:val="1D644DCB"/>
    <w:rsid w:val="1D89659E"/>
    <w:rsid w:val="1DB96EC4"/>
    <w:rsid w:val="1DFD12CC"/>
    <w:rsid w:val="1E206F43"/>
    <w:rsid w:val="1E696B3C"/>
    <w:rsid w:val="1E91399D"/>
    <w:rsid w:val="1E94348E"/>
    <w:rsid w:val="1EFF1012"/>
    <w:rsid w:val="1F8D685B"/>
    <w:rsid w:val="1FEF6BCD"/>
    <w:rsid w:val="1FF468DA"/>
    <w:rsid w:val="20216FA3"/>
    <w:rsid w:val="207215AC"/>
    <w:rsid w:val="21555156"/>
    <w:rsid w:val="21FC7CC7"/>
    <w:rsid w:val="21FF76A8"/>
    <w:rsid w:val="22D520E3"/>
    <w:rsid w:val="2330691C"/>
    <w:rsid w:val="235A2EF8"/>
    <w:rsid w:val="240778D4"/>
    <w:rsid w:val="24264B88"/>
    <w:rsid w:val="24704055"/>
    <w:rsid w:val="24BB1774"/>
    <w:rsid w:val="256C258B"/>
    <w:rsid w:val="25A14E0E"/>
    <w:rsid w:val="25A71CF8"/>
    <w:rsid w:val="26103D41"/>
    <w:rsid w:val="26404627"/>
    <w:rsid w:val="26962499"/>
    <w:rsid w:val="26D560D4"/>
    <w:rsid w:val="27565784"/>
    <w:rsid w:val="280671AA"/>
    <w:rsid w:val="283C7D2D"/>
    <w:rsid w:val="28887BBF"/>
    <w:rsid w:val="28A10C81"/>
    <w:rsid w:val="290B259E"/>
    <w:rsid w:val="290F02E0"/>
    <w:rsid w:val="2A3049B2"/>
    <w:rsid w:val="2A726D79"/>
    <w:rsid w:val="2AB23619"/>
    <w:rsid w:val="2B7E34FB"/>
    <w:rsid w:val="2BB60EE7"/>
    <w:rsid w:val="2BEE242F"/>
    <w:rsid w:val="2CB35427"/>
    <w:rsid w:val="2CFB12A7"/>
    <w:rsid w:val="2D2D6F87"/>
    <w:rsid w:val="2D580E5F"/>
    <w:rsid w:val="2DC31699"/>
    <w:rsid w:val="2DF23037"/>
    <w:rsid w:val="2E821554"/>
    <w:rsid w:val="2ED226A6"/>
    <w:rsid w:val="2FBFB0B4"/>
    <w:rsid w:val="30156353"/>
    <w:rsid w:val="307C26FF"/>
    <w:rsid w:val="30DC4F4C"/>
    <w:rsid w:val="3138414C"/>
    <w:rsid w:val="319B4E07"/>
    <w:rsid w:val="31B61C41"/>
    <w:rsid w:val="31F54010"/>
    <w:rsid w:val="31FD7870"/>
    <w:rsid w:val="32990C1B"/>
    <w:rsid w:val="335D7E9A"/>
    <w:rsid w:val="33E32A95"/>
    <w:rsid w:val="347F41EF"/>
    <w:rsid w:val="35466E38"/>
    <w:rsid w:val="35724741"/>
    <w:rsid w:val="357D4F5F"/>
    <w:rsid w:val="359A3628"/>
    <w:rsid w:val="35A66CC8"/>
    <w:rsid w:val="36246441"/>
    <w:rsid w:val="363475D8"/>
    <w:rsid w:val="36873BAC"/>
    <w:rsid w:val="36910587"/>
    <w:rsid w:val="369167D9"/>
    <w:rsid w:val="378325C5"/>
    <w:rsid w:val="37893954"/>
    <w:rsid w:val="37C36E66"/>
    <w:rsid w:val="38951418"/>
    <w:rsid w:val="38BD1B07"/>
    <w:rsid w:val="38C369F1"/>
    <w:rsid w:val="3922196A"/>
    <w:rsid w:val="3B223EA3"/>
    <w:rsid w:val="3B4007CD"/>
    <w:rsid w:val="3BB80364"/>
    <w:rsid w:val="3BEFDB2C"/>
    <w:rsid w:val="3C7E35F0"/>
    <w:rsid w:val="3CB43221"/>
    <w:rsid w:val="3D2855F9"/>
    <w:rsid w:val="3D70539A"/>
    <w:rsid w:val="3DA46DF1"/>
    <w:rsid w:val="3DC254CA"/>
    <w:rsid w:val="3E432AAE"/>
    <w:rsid w:val="3E594768"/>
    <w:rsid w:val="3E5C76C6"/>
    <w:rsid w:val="3EF73899"/>
    <w:rsid w:val="3F6F84D6"/>
    <w:rsid w:val="3F9609BC"/>
    <w:rsid w:val="3FFA0F4B"/>
    <w:rsid w:val="40316936"/>
    <w:rsid w:val="40580367"/>
    <w:rsid w:val="41D81760"/>
    <w:rsid w:val="420E36FE"/>
    <w:rsid w:val="43183A6B"/>
    <w:rsid w:val="43A01E09"/>
    <w:rsid w:val="43F403A7"/>
    <w:rsid w:val="44F96DCE"/>
    <w:rsid w:val="458D460F"/>
    <w:rsid w:val="46026DAB"/>
    <w:rsid w:val="460D74FE"/>
    <w:rsid w:val="466B2BA2"/>
    <w:rsid w:val="46BC1650"/>
    <w:rsid w:val="46C202E8"/>
    <w:rsid w:val="471A68C5"/>
    <w:rsid w:val="47525B10"/>
    <w:rsid w:val="4777055B"/>
    <w:rsid w:val="47BB1907"/>
    <w:rsid w:val="47C06F1E"/>
    <w:rsid w:val="47EF15B1"/>
    <w:rsid w:val="481728B6"/>
    <w:rsid w:val="48451034"/>
    <w:rsid w:val="4871646A"/>
    <w:rsid w:val="48C26CC5"/>
    <w:rsid w:val="49A308A5"/>
    <w:rsid w:val="4A600544"/>
    <w:rsid w:val="4A857FAB"/>
    <w:rsid w:val="4AC46D25"/>
    <w:rsid w:val="4B306168"/>
    <w:rsid w:val="4BD016F9"/>
    <w:rsid w:val="4BD72A88"/>
    <w:rsid w:val="4C39104D"/>
    <w:rsid w:val="4C6F0F12"/>
    <w:rsid w:val="4CDF3385"/>
    <w:rsid w:val="4D31441A"/>
    <w:rsid w:val="4DA150FB"/>
    <w:rsid w:val="4DE4148C"/>
    <w:rsid w:val="4DF53699"/>
    <w:rsid w:val="4E260864"/>
    <w:rsid w:val="4E4C150B"/>
    <w:rsid w:val="4E7465AD"/>
    <w:rsid w:val="4E994025"/>
    <w:rsid w:val="4EA604F0"/>
    <w:rsid w:val="4EED4ABF"/>
    <w:rsid w:val="4F2434EB"/>
    <w:rsid w:val="4F534DD9"/>
    <w:rsid w:val="4F552641"/>
    <w:rsid w:val="4FEC36DE"/>
    <w:rsid w:val="516A7EFA"/>
    <w:rsid w:val="51852B86"/>
    <w:rsid w:val="51C4760A"/>
    <w:rsid w:val="51DD74F8"/>
    <w:rsid w:val="52416EAD"/>
    <w:rsid w:val="53400F13"/>
    <w:rsid w:val="539F032F"/>
    <w:rsid w:val="53F266B1"/>
    <w:rsid w:val="53F65A75"/>
    <w:rsid w:val="545D5AF4"/>
    <w:rsid w:val="54770964"/>
    <w:rsid w:val="55050666"/>
    <w:rsid w:val="5559450E"/>
    <w:rsid w:val="5583158B"/>
    <w:rsid w:val="55AC6E85"/>
    <w:rsid w:val="569C6DA8"/>
    <w:rsid w:val="56DA342C"/>
    <w:rsid w:val="56F01EFD"/>
    <w:rsid w:val="574B60D8"/>
    <w:rsid w:val="57614328"/>
    <w:rsid w:val="57783371"/>
    <w:rsid w:val="577B6642"/>
    <w:rsid w:val="577F4DA8"/>
    <w:rsid w:val="57FF75EE"/>
    <w:rsid w:val="58496ABB"/>
    <w:rsid w:val="597CFC07"/>
    <w:rsid w:val="5A117165"/>
    <w:rsid w:val="5A4F56AB"/>
    <w:rsid w:val="5A601E9A"/>
    <w:rsid w:val="5A7FF357"/>
    <w:rsid w:val="5ACE14FA"/>
    <w:rsid w:val="5AD76600"/>
    <w:rsid w:val="5ADA39FB"/>
    <w:rsid w:val="5B3B2701"/>
    <w:rsid w:val="5B637E94"/>
    <w:rsid w:val="5BAA5AC3"/>
    <w:rsid w:val="5D46181B"/>
    <w:rsid w:val="5D467A6D"/>
    <w:rsid w:val="5DA50AD8"/>
    <w:rsid w:val="5DFB0858"/>
    <w:rsid w:val="5DFC8433"/>
    <w:rsid w:val="5E674220"/>
    <w:rsid w:val="5F6E87F1"/>
    <w:rsid w:val="5F9B809B"/>
    <w:rsid w:val="5FDC1200"/>
    <w:rsid w:val="5FF7AED5"/>
    <w:rsid w:val="60275934"/>
    <w:rsid w:val="60D13AF2"/>
    <w:rsid w:val="60F33A68"/>
    <w:rsid w:val="60FD48E7"/>
    <w:rsid w:val="612C7322"/>
    <w:rsid w:val="61882403"/>
    <w:rsid w:val="619568CD"/>
    <w:rsid w:val="61C15914"/>
    <w:rsid w:val="6200643D"/>
    <w:rsid w:val="62344338"/>
    <w:rsid w:val="628C7CD0"/>
    <w:rsid w:val="631249DE"/>
    <w:rsid w:val="647C1FC7"/>
    <w:rsid w:val="65293EFC"/>
    <w:rsid w:val="653B778C"/>
    <w:rsid w:val="65516FAF"/>
    <w:rsid w:val="65A22E7A"/>
    <w:rsid w:val="65C23A09"/>
    <w:rsid w:val="66BB6DD6"/>
    <w:rsid w:val="66C0263F"/>
    <w:rsid w:val="66F83B86"/>
    <w:rsid w:val="675E59B4"/>
    <w:rsid w:val="6784366C"/>
    <w:rsid w:val="67A1421E"/>
    <w:rsid w:val="67D60118"/>
    <w:rsid w:val="67ED05C9"/>
    <w:rsid w:val="67FD5E88"/>
    <w:rsid w:val="68A1024E"/>
    <w:rsid w:val="68B21702"/>
    <w:rsid w:val="68D73C6F"/>
    <w:rsid w:val="69166546"/>
    <w:rsid w:val="699F6438"/>
    <w:rsid w:val="69A519D1"/>
    <w:rsid w:val="6B0B6859"/>
    <w:rsid w:val="6BDF70C3"/>
    <w:rsid w:val="6C8E6D3B"/>
    <w:rsid w:val="6C991968"/>
    <w:rsid w:val="6D8048D6"/>
    <w:rsid w:val="6DAB4BD9"/>
    <w:rsid w:val="6DDD7632"/>
    <w:rsid w:val="6DFE57FA"/>
    <w:rsid w:val="6E0948CB"/>
    <w:rsid w:val="6E3A0F28"/>
    <w:rsid w:val="6E8E3022"/>
    <w:rsid w:val="6EF966EE"/>
    <w:rsid w:val="70433998"/>
    <w:rsid w:val="708A15C7"/>
    <w:rsid w:val="709F5073"/>
    <w:rsid w:val="71357785"/>
    <w:rsid w:val="7137174F"/>
    <w:rsid w:val="713F23B2"/>
    <w:rsid w:val="713F6856"/>
    <w:rsid w:val="71864485"/>
    <w:rsid w:val="71F238C8"/>
    <w:rsid w:val="7229553C"/>
    <w:rsid w:val="724265FE"/>
    <w:rsid w:val="72760055"/>
    <w:rsid w:val="727E1987"/>
    <w:rsid w:val="72B56DCF"/>
    <w:rsid w:val="72D134DE"/>
    <w:rsid w:val="72D8486C"/>
    <w:rsid w:val="731358A4"/>
    <w:rsid w:val="73C748CA"/>
    <w:rsid w:val="73C87B30"/>
    <w:rsid w:val="73FD1D73"/>
    <w:rsid w:val="73FE5CB0"/>
    <w:rsid w:val="73FF7DCE"/>
    <w:rsid w:val="74017DF2"/>
    <w:rsid w:val="74561EEC"/>
    <w:rsid w:val="747131CA"/>
    <w:rsid w:val="747B5F79"/>
    <w:rsid w:val="74B9247B"/>
    <w:rsid w:val="75243D99"/>
    <w:rsid w:val="752EFB25"/>
    <w:rsid w:val="765F7966"/>
    <w:rsid w:val="76A64249"/>
    <w:rsid w:val="76DD68F5"/>
    <w:rsid w:val="76F459ED"/>
    <w:rsid w:val="773724A9"/>
    <w:rsid w:val="775E91CE"/>
    <w:rsid w:val="77C87B03"/>
    <w:rsid w:val="77FB04AE"/>
    <w:rsid w:val="78A23952"/>
    <w:rsid w:val="794E7A1B"/>
    <w:rsid w:val="796E5F2A"/>
    <w:rsid w:val="797EF0A2"/>
    <w:rsid w:val="798E3ED6"/>
    <w:rsid w:val="79951709"/>
    <w:rsid w:val="79C1769F"/>
    <w:rsid w:val="7A633D70"/>
    <w:rsid w:val="7AB45BBF"/>
    <w:rsid w:val="7AFCFA8C"/>
    <w:rsid w:val="7B2C1874"/>
    <w:rsid w:val="7B67C924"/>
    <w:rsid w:val="7B890DF9"/>
    <w:rsid w:val="7B9B62EB"/>
    <w:rsid w:val="7BF65A20"/>
    <w:rsid w:val="7BFFB501"/>
    <w:rsid w:val="7C39281F"/>
    <w:rsid w:val="7D9B4E14"/>
    <w:rsid w:val="7DC97BD3"/>
    <w:rsid w:val="7DEA58D1"/>
    <w:rsid w:val="7E156E24"/>
    <w:rsid w:val="7E1F3C97"/>
    <w:rsid w:val="7E543940"/>
    <w:rsid w:val="7E7F7294"/>
    <w:rsid w:val="7EBC3294"/>
    <w:rsid w:val="7EC845EA"/>
    <w:rsid w:val="7EC860DC"/>
    <w:rsid w:val="7EE10F4C"/>
    <w:rsid w:val="7EFE08D3"/>
    <w:rsid w:val="7F55699B"/>
    <w:rsid w:val="7F7C82E7"/>
    <w:rsid w:val="7F7FEDDD"/>
    <w:rsid w:val="7FA73F44"/>
    <w:rsid w:val="7FDFF502"/>
    <w:rsid w:val="7FF88730"/>
    <w:rsid w:val="7FF96A85"/>
    <w:rsid w:val="8DBC2C0F"/>
    <w:rsid w:val="92BFDC08"/>
    <w:rsid w:val="9B7AF287"/>
    <w:rsid w:val="9BDF8C95"/>
    <w:rsid w:val="9F9FDA9D"/>
    <w:rsid w:val="A9598362"/>
    <w:rsid w:val="AB4FC435"/>
    <w:rsid w:val="AF1FCB62"/>
    <w:rsid w:val="B77F2335"/>
    <w:rsid w:val="B7F71AD5"/>
    <w:rsid w:val="BBCFA1FB"/>
    <w:rsid w:val="BBFDDC4E"/>
    <w:rsid w:val="BBFF825D"/>
    <w:rsid w:val="BC9F3200"/>
    <w:rsid w:val="BD9BB80E"/>
    <w:rsid w:val="BEFDDB0B"/>
    <w:rsid w:val="BEFFAC6F"/>
    <w:rsid w:val="BFCF64EB"/>
    <w:rsid w:val="BFDEB410"/>
    <w:rsid w:val="BFE1532D"/>
    <w:rsid w:val="BFEB76CD"/>
    <w:rsid w:val="BFFC462E"/>
    <w:rsid w:val="C7C5A0E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qFormat="1"/>
    <w:lsdException w:name="Body Tex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HTML Preformatted"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B7551"/>
    <w:pPr>
      <w:widowControl w:val="0"/>
      <w:jc w:val="both"/>
    </w:pPr>
    <w:rPr>
      <w:rFonts w:ascii="楷体_GB2312" w:eastAsia="楷体_GB2312" w:hAnsi="宋体"/>
      <w:color w:val="000000"/>
      <w:kern w:val="2"/>
      <w:sz w:val="24"/>
      <w:szCs w:val="27"/>
    </w:rPr>
  </w:style>
  <w:style w:type="paragraph" w:styleId="1">
    <w:name w:val="heading 1"/>
    <w:basedOn w:val="a"/>
    <w:next w:val="a"/>
    <w:qFormat/>
    <w:rsid w:val="005B7551"/>
    <w:pPr>
      <w:spacing w:beforeAutospacing="1" w:afterAutospacing="1"/>
      <w:jc w:val="left"/>
      <w:outlineLvl w:val="0"/>
    </w:pPr>
    <w:rPr>
      <w:rFonts w:ascii="宋体" w:eastAsia="宋体" w:hint="eastAsia"/>
      <w:b/>
      <w:bCs/>
      <w:kern w:val="44"/>
      <w:sz w:val="48"/>
      <w:szCs w:val="48"/>
    </w:rPr>
  </w:style>
  <w:style w:type="paragraph" w:styleId="2">
    <w:name w:val="heading 2"/>
    <w:basedOn w:val="a"/>
    <w:next w:val="a"/>
    <w:semiHidden/>
    <w:unhideWhenUsed/>
    <w:qFormat/>
    <w:rsid w:val="005B7551"/>
    <w:pPr>
      <w:spacing w:beforeAutospacing="1" w:afterAutospacing="1"/>
      <w:jc w:val="left"/>
      <w:outlineLvl w:val="1"/>
    </w:pPr>
    <w:rPr>
      <w:rFonts w:ascii="宋体" w:eastAsia="宋体" w:hint="eastAsia"/>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sid w:val="005B7551"/>
    <w:pPr>
      <w:spacing w:after="120"/>
    </w:pPr>
  </w:style>
  <w:style w:type="paragraph" w:styleId="a4">
    <w:name w:val="footer"/>
    <w:basedOn w:val="a"/>
    <w:qFormat/>
    <w:rsid w:val="005B7551"/>
    <w:pPr>
      <w:tabs>
        <w:tab w:val="center" w:pos="4153"/>
        <w:tab w:val="right" w:pos="8306"/>
      </w:tabs>
      <w:snapToGrid w:val="0"/>
      <w:jc w:val="left"/>
    </w:pPr>
    <w:rPr>
      <w:sz w:val="18"/>
      <w:szCs w:val="18"/>
    </w:rPr>
  </w:style>
  <w:style w:type="paragraph" w:styleId="a5">
    <w:name w:val="header"/>
    <w:basedOn w:val="a"/>
    <w:qFormat/>
    <w:rsid w:val="005B7551"/>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qFormat/>
    <w:rsid w:val="005B75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int="eastAsia"/>
      <w:kern w:val="0"/>
      <w:szCs w:val="24"/>
    </w:rPr>
  </w:style>
  <w:style w:type="paragraph" w:styleId="a6">
    <w:name w:val="Normal (Web)"/>
    <w:basedOn w:val="a"/>
    <w:uiPriority w:val="99"/>
    <w:qFormat/>
    <w:rsid w:val="005B7551"/>
    <w:pPr>
      <w:widowControl/>
      <w:jc w:val="left"/>
    </w:pPr>
    <w:rPr>
      <w:rFonts w:ascii="宋体" w:eastAsia="宋体" w:cs="宋体"/>
      <w:color w:val="auto"/>
      <w:kern w:val="0"/>
      <w:szCs w:val="24"/>
    </w:rPr>
  </w:style>
  <w:style w:type="character" w:styleId="a7">
    <w:name w:val="Strong"/>
    <w:basedOn w:val="a0"/>
    <w:qFormat/>
    <w:rsid w:val="005B7551"/>
    <w:rPr>
      <w:b/>
    </w:rPr>
  </w:style>
  <w:style w:type="character" w:styleId="a8">
    <w:name w:val="page number"/>
    <w:basedOn w:val="a0"/>
    <w:qFormat/>
    <w:rsid w:val="005B7551"/>
  </w:style>
  <w:style w:type="character" w:styleId="a9">
    <w:name w:val="Emphasis"/>
    <w:basedOn w:val="a0"/>
    <w:qFormat/>
    <w:rsid w:val="005B7551"/>
    <w:rPr>
      <w:i/>
    </w:rPr>
  </w:style>
  <w:style w:type="character" w:styleId="aa">
    <w:name w:val="Hyperlink"/>
    <w:basedOn w:val="a0"/>
    <w:qFormat/>
    <w:rsid w:val="005B7551"/>
    <w:rPr>
      <w:color w:val="0000FF"/>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s://www.bse.cn/newshare/listofissues_detail.html?id=178"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12</Pages>
  <Words>1632</Words>
  <Characters>9307</Characters>
  <Application>Microsoft Office Word</Application>
  <DocSecurity>0</DocSecurity>
  <Lines>77</Lines>
  <Paragraphs>21</Paragraphs>
  <ScaleCrop>false</ScaleCrop>
  <Company/>
  <LinksUpToDate>false</LinksUpToDate>
  <CharactersWithSpaces>10918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李晨</dc:creator>
  <cp:lastModifiedBy>于波</cp:lastModifiedBy>
  <cp:revision>2</cp:revision>
  <dcterms:created xsi:type="dcterms:W3CDTF">2023-02-24T09:22:00Z</dcterms:created>
  <dcterms:modified xsi:type="dcterms:W3CDTF">2023-03-10T08:51:00Z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F789AA47278F4695B199DA779D6104D8</vt:lpwstr>
  </property>
</Properties>
</file>