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Calibri" w:hAnsi="Calibri" w:eastAsia="宋体" w:cs="Times New Roman"/>
          <w:szCs w:val="24"/>
        </w:rPr>
      </w:pPr>
    </w:p>
    <w:p>
      <w:pPr>
        <w:rPr>
          <w:rFonts w:ascii="Calibri" w:hAnsi="Calibri" w:eastAsia="宋体" w:cs="Times New Roman"/>
          <w:szCs w:val="24"/>
        </w:rPr>
      </w:pPr>
    </w:p>
    <w:p>
      <w:pPr>
        <w:rPr>
          <w:rFonts w:ascii="Calibri" w:hAnsi="Calibri" w:eastAsia="宋体" w:cs="Times New Roman"/>
          <w:szCs w:val="24"/>
        </w:rPr>
      </w:pPr>
    </w:p>
    <w:p>
      <w:pPr>
        <w:spacing w:line="360" w:lineRule="auto"/>
        <w:jc w:val="center"/>
        <w:rPr>
          <w:rFonts w:ascii="黑体" w:hAnsi="黑体" w:eastAsia="黑体" w:cs="黑体"/>
          <w:b/>
          <w:color w:val="002060"/>
          <w:sz w:val="48"/>
          <w:szCs w:val="48"/>
        </w:rPr>
      </w:pPr>
      <w:r>
        <w:rPr>
          <w:rFonts w:hint="eastAsia" w:ascii="黑体" w:hAnsi="黑体" w:eastAsia="黑体" w:cs="黑体"/>
          <w:b/>
          <w:color w:val="002060"/>
          <w:sz w:val="48"/>
          <w:szCs w:val="48"/>
        </w:rPr>
        <w:t>大连市律师协会民事法律专业委员会</w:t>
      </w:r>
    </w:p>
    <w:p>
      <w:pPr>
        <w:spacing w:line="360" w:lineRule="auto"/>
        <w:rPr>
          <w:rFonts w:ascii="黑体" w:hAnsi="黑体" w:eastAsia="黑体" w:cs="黑体"/>
          <w:color w:val="002060"/>
          <w:sz w:val="28"/>
          <w:szCs w:val="36"/>
        </w:rPr>
      </w:pPr>
    </w:p>
    <w:p>
      <w:pPr>
        <w:spacing w:line="360" w:lineRule="auto"/>
        <w:rPr>
          <w:rFonts w:ascii="黑体" w:hAnsi="黑体" w:eastAsia="黑体" w:cs="黑体"/>
          <w:color w:val="002060"/>
          <w:szCs w:val="24"/>
        </w:rPr>
      </w:pPr>
    </w:p>
    <w:p>
      <w:pPr>
        <w:spacing w:line="360" w:lineRule="auto"/>
        <w:rPr>
          <w:rFonts w:ascii="黑体" w:hAnsi="黑体" w:eastAsia="黑体" w:cs="黑体"/>
          <w:color w:val="002060"/>
          <w:szCs w:val="24"/>
        </w:rPr>
      </w:pPr>
    </w:p>
    <w:p>
      <w:pPr>
        <w:spacing w:line="360" w:lineRule="auto"/>
        <w:rPr>
          <w:rFonts w:ascii="Calibri" w:hAnsi="Calibri" w:eastAsia="宋体" w:cs="Times New Roman"/>
          <w:szCs w:val="24"/>
        </w:rPr>
      </w:pPr>
    </w:p>
    <w:p>
      <w:pPr>
        <w:spacing w:line="360" w:lineRule="auto"/>
        <w:rPr>
          <w:rFonts w:ascii="Calibri" w:hAnsi="Calibri" w:eastAsia="宋体" w:cs="Times New Roman"/>
          <w:szCs w:val="24"/>
        </w:rPr>
      </w:pPr>
    </w:p>
    <w:p>
      <w:pPr>
        <w:spacing w:line="360" w:lineRule="auto"/>
        <w:jc w:val="center"/>
        <w:rPr>
          <w:rFonts w:ascii="黑体" w:hAnsi="黑体" w:eastAsia="黑体" w:cs="黑体"/>
          <w:b/>
          <w:bCs/>
          <w:color w:val="FF0000"/>
          <w:sz w:val="56"/>
          <w:szCs w:val="96"/>
        </w:rPr>
      </w:pPr>
      <w:r>
        <w:rPr>
          <w:rFonts w:hint="eastAsia" w:ascii="黑体" w:hAnsi="黑体" w:eastAsia="黑体" w:cs="黑体"/>
          <w:b/>
          <w:bCs/>
          <w:color w:val="FF0000"/>
          <w:sz w:val="56"/>
          <w:szCs w:val="96"/>
        </w:rPr>
        <w:t>信息简报</w:t>
      </w:r>
    </w:p>
    <w:p>
      <w:pPr>
        <w:spacing w:line="360" w:lineRule="auto"/>
        <w:jc w:val="center"/>
        <w:rPr>
          <w:rFonts w:ascii="黑体" w:hAnsi="黑体" w:eastAsia="黑体" w:cs="黑体"/>
          <w:sz w:val="24"/>
          <w:szCs w:val="24"/>
        </w:rPr>
      </w:pPr>
      <w:r>
        <w:rPr>
          <w:rFonts w:ascii="黑体" w:hAnsi="黑体" w:eastAsia="黑体" w:cs="黑体"/>
          <w:sz w:val="24"/>
          <w:szCs w:val="24"/>
        </w:rPr>
        <w:t>202</w:t>
      </w:r>
      <w:r>
        <w:rPr>
          <w:rFonts w:hint="eastAsia" w:ascii="黑体" w:hAnsi="黑体" w:eastAsia="黑体" w:cs="黑体"/>
          <w:sz w:val="24"/>
          <w:szCs w:val="24"/>
          <w:lang w:val="en-US" w:eastAsia="zh-CN"/>
        </w:rPr>
        <w:t>3</w:t>
      </w:r>
      <w:r>
        <w:rPr>
          <w:rFonts w:hint="eastAsia" w:ascii="黑体" w:hAnsi="黑体" w:eastAsia="黑体" w:cs="黑体"/>
          <w:sz w:val="24"/>
          <w:szCs w:val="24"/>
        </w:rPr>
        <w:t>年第</w:t>
      </w:r>
      <w:r>
        <w:rPr>
          <w:rFonts w:hint="eastAsia" w:ascii="黑体" w:hAnsi="黑体" w:eastAsia="黑体" w:cs="黑体"/>
          <w:sz w:val="24"/>
          <w:szCs w:val="24"/>
          <w:lang w:val="en-US" w:eastAsia="zh-CN"/>
        </w:rPr>
        <w:t>2</w:t>
      </w:r>
      <w:r>
        <w:rPr>
          <w:rFonts w:hint="eastAsia" w:ascii="黑体" w:hAnsi="黑体" w:eastAsia="黑体" w:cs="黑体"/>
          <w:sz w:val="24"/>
          <w:szCs w:val="24"/>
        </w:rPr>
        <w:t>期</w:t>
      </w:r>
    </w:p>
    <w:p>
      <w:pPr>
        <w:spacing w:line="360" w:lineRule="auto"/>
        <w:jc w:val="center"/>
        <w:rPr>
          <w:rFonts w:ascii="黑体" w:hAnsi="黑体" w:eastAsia="黑体" w:cs="黑体"/>
          <w:sz w:val="24"/>
          <w:szCs w:val="24"/>
        </w:rPr>
      </w:pPr>
      <w:r>
        <w:rPr>
          <w:rFonts w:hint="eastAsia" w:ascii="黑体" w:hAnsi="黑体" w:eastAsia="黑体" w:cs="黑体"/>
          <w:sz w:val="24"/>
          <w:szCs w:val="24"/>
        </w:rPr>
        <w:t>总第0</w:t>
      </w:r>
      <w:r>
        <w:rPr>
          <w:rFonts w:hint="eastAsia" w:ascii="黑体" w:hAnsi="黑体" w:eastAsia="黑体" w:cs="黑体"/>
          <w:sz w:val="24"/>
          <w:szCs w:val="24"/>
          <w:lang w:val="en-US" w:eastAsia="zh-CN"/>
        </w:rPr>
        <w:t>12</w:t>
      </w:r>
      <w:r>
        <w:rPr>
          <w:rFonts w:hint="eastAsia" w:ascii="黑体" w:hAnsi="黑体" w:eastAsia="黑体" w:cs="黑体"/>
          <w:sz w:val="24"/>
          <w:szCs w:val="24"/>
        </w:rPr>
        <w:t>期</w:t>
      </w:r>
    </w:p>
    <w:p>
      <w:pPr>
        <w:spacing w:line="360" w:lineRule="auto"/>
        <w:jc w:val="center"/>
        <w:rPr>
          <w:rFonts w:ascii="黑体" w:hAnsi="黑体" w:eastAsia="黑体" w:cs="黑体"/>
          <w:sz w:val="24"/>
          <w:szCs w:val="24"/>
        </w:rPr>
      </w:pPr>
      <w:r>
        <w:rPr>
          <w:rFonts w:hint="eastAsia" w:ascii="黑体" w:hAnsi="黑体" w:eastAsia="黑体" w:cs="黑体"/>
          <w:sz w:val="24"/>
          <w:szCs w:val="24"/>
        </w:rPr>
        <w:t>202</w:t>
      </w:r>
      <w:r>
        <w:rPr>
          <w:rFonts w:hint="eastAsia" w:ascii="黑体" w:hAnsi="黑体" w:eastAsia="黑体" w:cs="黑体"/>
          <w:sz w:val="24"/>
          <w:szCs w:val="24"/>
          <w:lang w:val="en-US" w:eastAsia="zh-CN"/>
        </w:rPr>
        <w:t>3</w:t>
      </w:r>
      <w:r>
        <w:rPr>
          <w:rFonts w:hint="eastAsia" w:ascii="黑体" w:hAnsi="黑体" w:eastAsia="黑体" w:cs="黑体"/>
          <w:sz w:val="24"/>
          <w:szCs w:val="24"/>
        </w:rPr>
        <w:t>年</w:t>
      </w:r>
      <w:r>
        <w:rPr>
          <w:rFonts w:hint="eastAsia" w:ascii="黑体" w:hAnsi="黑体" w:eastAsia="黑体" w:cs="黑体"/>
          <w:sz w:val="24"/>
          <w:szCs w:val="24"/>
          <w:lang w:val="en-US" w:eastAsia="zh-CN"/>
        </w:rPr>
        <w:t>4</w:t>
      </w:r>
      <w:r>
        <w:rPr>
          <w:rFonts w:hint="eastAsia" w:ascii="黑体" w:hAnsi="黑体" w:eastAsia="黑体" w:cs="黑体"/>
          <w:sz w:val="24"/>
          <w:szCs w:val="24"/>
        </w:rPr>
        <w:t>月</w:t>
      </w:r>
      <w:r>
        <w:rPr>
          <w:rFonts w:hint="eastAsia" w:ascii="黑体" w:hAnsi="黑体" w:eastAsia="黑体" w:cs="黑体"/>
          <w:sz w:val="24"/>
          <w:szCs w:val="24"/>
          <w:lang w:val="en-US" w:eastAsia="zh-CN"/>
        </w:rPr>
        <w:t>28</w:t>
      </w:r>
      <w:r>
        <w:rPr>
          <w:rFonts w:hint="eastAsia" w:ascii="黑体" w:hAnsi="黑体" w:eastAsia="黑体" w:cs="黑体"/>
          <w:sz w:val="24"/>
          <w:szCs w:val="24"/>
        </w:rPr>
        <w:t>日</w:t>
      </w:r>
    </w:p>
    <w:p>
      <w:pPr>
        <w:spacing w:line="360" w:lineRule="auto"/>
        <w:rPr>
          <w:rFonts w:ascii="Calibri" w:hAnsi="Calibri" w:eastAsia="宋体" w:cs="Times New Roman"/>
          <w:sz w:val="16"/>
          <w:szCs w:val="20"/>
        </w:rPr>
      </w:pPr>
    </w:p>
    <w:p>
      <w:pPr>
        <w:spacing w:line="360" w:lineRule="auto"/>
        <w:jc w:val="center"/>
        <w:rPr>
          <w:rFonts w:ascii="黑体" w:hAnsi="黑体" w:eastAsia="黑体" w:cs="黑体"/>
          <w:sz w:val="18"/>
          <w:szCs w:val="21"/>
        </w:rPr>
      </w:pPr>
    </w:p>
    <w:p>
      <w:pPr>
        <w:spacing w:line="360" w:lineRule="auto"/>
        <w:jc w:val="center"/>
        <w:rPr>
          <w:rFonts w:ascii="黑体" w:hAnsi="黑体" w:eastAsia="黑体" w:cs="黑体"/>
          <w:sz w:val="22"/>
          <w:szCs w:val="28"/>
        </w:rPr>
      </w:pPr>
      <w:r>
        <w:rPr>
          <w:rFonts w:ascii="Calibri" w:hAnsi="Calibri" w:eastAsia="宋体" w:cs="Times New Roman"/>
          <w:sz w:val="22"/>
          <w:szCs w:val="28"/>
        </w:rPr>
        <mc:AlternateContent>
          <mc:Choice Requires="wps">
            <w:drawing>
              <wp:anchor distT="0" distB="0" distL="114300" distR="114300" simplePos="0" relativeHeight="251659264" behindDoc="0" locked="0" layoutInCell="1" allowOverlap="1">
                <wp:simplePos x="0" y="0"/>
                <wp:positionH relativeFrom="column">
                  <wp:posOffset>231775</wp:posOffset>
                </wp:positionH>
                <wp:positionV relativeFrom="paragraph">
                  <wp:posOffset>1017270</wp:posOffset>
                </wp:positionV>
                <wp:extent cx="1828800" cy="1828800"/>
                <wp:effectExtent l="0" t="0" r="0" b="0"/>
                <wp:wrapSquare wrapText="bothSides"/>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solidFill>
                          <a:srgbClr val="FFFFFF"/>
                        </a:solidFill>
                        <a:ln w="6350">
                          <a:solidFill>
                            <a:srgbClr val="0000FF"/>
                          </a:solidFill>
                        </a:ln>
                        <a:effectLst/>
                      </wps:spPr>
                      <wps:txbx>
                        <w:txbxContent>
                          <w:p>
                            <w:pPr>
                              <w:spacing w:line="360" w:lineRule="auto"/>
                              <w:rPr>
                                <w:rFonts w:ascii="黑体" w:hAnsi="黑体" w:eastAsia="黑体" w:cs="黑体"/>
                                <w:color w:val="002060"/>
                              </w:rPr>
                            </w:pPr>
                            <w:r>
                              <w:rPr>
                                <w:rFonts w:hint="eastAsia" w:ascii="黑体" w:hAnsi="黑体" w:eastAsia="黑体" w:cs="黑体"/>
                                <w:color w:val="002060"/>
                              </w:rPr>
                              <w:t>特别声明：本信息简报所载内容均来自国内报刊、专业网站已发表的文章。在任何情形下，本信息简报均不可作为法律意见、作出行动或制止行动的依据。</w:t>
                            </w:r>
                          </w:p>
                          <w:p>
                            <w:pPr>
                              <w:spacing w:line="360" w:lineRule="auto"/>
                              <w:rPr>
                                <w:rFonts w:ascii="黑体" w:hAnsi="黑体" w:eastAsia="黑体" w:cs="黑体"/>
                                <w:color w:val="002060"/>
                              </w:rPr>
                            </w:pPr>
                            <w:r>
                              <w:rPr>
                                <w:rFonts w:hint="eastAsia" w:ascii="黑体" w:hAnsi="黑体" w:eastAsia="黑体" w:cs="黑体"/>
                                <w:color w:val="002060"/>
                              </w:rPr>
                              <w:t>版权保护：本信息简报由大连市律师协会民事法律专业委员会编辑发布。任何有关本信息简报的转载或摘编，请注明出处。</w:t>
                            </w:r>
                          </w:p>
                        </w:txbxContent>
                      </wps:txbx>
                      <wps:bodyPr rot="0" spcFirstLastPara="0" vertOverflow="overflow" horzOverflow="overflow" vert="horz" wrap="non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18.25pt;margin-top:80.1pt;height:144pt;width:144pt;mso-wrap-distance-bottom:0pt;mso-wrap-distance-left:9pt;mso-wrap-distance-right:9pt;mso-wrap-distance-top:0pt;mso-wrap-style:none;z-index:251659264;mso-width-relative:page;mso-height-relative:page;" fillcolor="#FFFFFF" filled="t" stroked="t" coordsize="21600,21600" o:gfxdata="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ClPo+zXAAAA&#10;CgEAAA8AAAAAAAAAAQAgAAAAIgAAAGRycy9kb3ducmV2LnhtbFBLAQIUABQAAAAIAIdO4kCz7bel&#10;VwIAAMUEAAAOAAAAAAAAAAEAIAAAACYBAABkcnMvZTJvRG9jLnhtbFBLBQYAAAAABgAGAFkBAADv&#10;BQAAAAA=&#10;">
                <v:fill on="t" focussize="0,0"/>
                <v:stroke weight="0.5pt" color="#0000FF" joinstyle="round"/>
                <v:imagedata o:title=""/>
                <o:lock v:ext="edit" aspectratio="f"/>
                <v:textbox style="mso-fit-shape-to-text:t;">
                  <w:txbxContent>
                    <w:p>
                      <w:pPr>
                        <w:spacing w:line="360" w:lineRule="auto"/>
                        <w:rPr>
                          <w:rFonts w:ascii="黑体" w:hAnsi="黑体" w:eastAsia="黑体" w:cs="黑体"/>
                          <w:color w:val="002060"/>
                        </w:rPr>
                      </w:pPr>
                      <w:r>
                        <w:rPr>
                          <w:rFonts w:hint="eastAsia" w:ascii="黑体" w:hAnsi="黑体" w:eastAsia="黑体" w:cs="黑体"/>
                          <w:color w:val="002060"/>
                        </w:rPr>
                        <w:t>特别声明：本信息简报所载内容均来自国内报刊、专业网站已发表的文章。在任何情形下，本信息简报均不可作为法律意见、作出行动或制止行动的依据。</w:t>
                      </w:r>
                    </w:p>
                    <w:p>
                      <w:pPr>
                        <w:spacing w:line="360" w:lineRule="auto"/>
                        <w:rPr>
                          <w:rFonts w:ascii="黑体" w:hAnsi="黑体" w:eastAsia="黑体" w:cs="黑体"/>
                          <w:color w:val="002060"/>
                        </w:rPr>
                      </w:pPr>
                      <w:r>
                        <w:rPr>
                          <w:rFonts w:hint="eastAsia" w:ascii="黑体" w:hAnsi="黑体" w:eastAsia="黑体" w:cs="黑体"/>
                          <w:color w:val="002060"/>
                        </w:rPr>
                        <w:t>版权保护：本信息简报由大连市律师协会民事法律专业委员会编辑发布。任何有关本信息简报的转载或摘编，请注明出处。</w:t>
                      </w:r>
                    </w:p>
                  </w:txbxContent>
                </v:textbox>
                <w10:wrap type="square"/>
              </v:shape>
            </w:pict>
          </mc:Fallback>
        </mc:AlternateContent>
      </w:r>
    </w:p>
    <w:p>
      <w:pPr>
        <w:spacing w:line="360" w:lineRule="auto"/>
        <w:jc w:val="center"/>
        <w:rPr>
          <w:rFonts w:hint="eastAsia" w:ascii="黑体" w:hAnsi="黑体" w:eastAsia="黑体" w:cs="黑体"/>
          <w:sz w:val="22"/>
          <w:szCs w:val="28"/>
          <w:lang w:eastAsia="zh-CN"/>
        </w:rPr>
      </w:pPr>
      <w:r>
        <w:rPr>
          <w:rFonts w:ascii="黑体" w:hAnsi="黑体" w:eastAsia="黑体" w:cs="黑体"/>
          <w:sz w:val="22"/>
          <w:szCs w:val="28"/>
        </w:rPr>
        <w:t>本期编辑</w:t>
      </w:r>
      <w:r>
        <w:rPr>
          <w:rFonts w:hint="eastAsia" w:ascii="黑体" w:hAnsi="黑体" w:eastAsia="黑体" w:cs="黑体"/>
          <w:sz w:val="22"/>
          <w:szCs w:val="28"/>
        </w:rPr>
        <w:t xml:space="preserve">   </w:t>
      </w:r>
      <w:r>
        <w:rPr>
          <w:rFonts w:hint="eastAsia" w:ascii="黑体" w:hAnsi="黑体" w:eastAsia="黑体" w:cs="黑体"/>
          <w:sz w:val="22"/>
          <w:szCs w:val="28"/>
          <w:lang w:val="en-US" w:eastAsia="zh-CN"/>
        </w:rPr>
        <w:t>吴洪涛</w:t>
      </w:r>
    </w:p>
    <w:p>
      <w:pPr>
        <w:spacing w:line="360" w:lineRule="auto"/>
        <w:jc w:val="center"/>
        <w:rPr>
          <w:rFonts w:hint="default" w:ascii="黑体" w:hAnsi="黑体" w:eastAsia="黑体" w:cs="黑体"/>
          <w:sz w:val="22"/>
          <w:szCs w:val="28"/>
          <w:lang w:val="en-US" w:eastAsia="zh-CN"/>
        </w:rPr>
      </w:pPr>
      <w:r>
        <w:rPr>
          <w:rFonts w:hint="eastAsia" w:ascii="黑体" w:hAnsi="黑体" w:eastAsia="黑体" w:cs="黑体"/>
          <w:sz w:val="22"/>
          <w:szCs w:val="28"/>
        </w:rPr>
        <w:t xml:space="preserve">责任编辑   </w:t>
      </w:r>
      <w:r>
        <w:rPr>
          <w:rFonts w:hint="eastAsia" w:ascii="黑体" w:hAnsi="黑体" w:eastAsia="黑体" w:cs="黑体"/>
          <w:sz w:val="22"/>
          <w:szCs w:val="28"/>
          <w:lang w:val="en-US" w:eastAsia="zh-CN"/>
        </w:rPr>
        <w:t>陈允楠</w:t>
      </w:r>
    </w:p>
    <w:p>
      <w:pPr>
        <w:spacing w:line="360" w:lineRule="auto"/>
        <w:jc w:val="center"/>
        <w:rPr>
          <w:rFonts w:ascii="黑体" w:hAnsi="黑体" w:eastAsia="黑体" w:cs="黑体"/>
          <w:sz w:val="22"/>
          <w:szCs w:val="28"/>
        </w:rPr>
      </w:pPr>
    </w:p>
    <w:p>
      <w:pPr>
        <w:spacing w:line="360" w:lineRule="auto"/>
        <w:jc w:val="center"/>
        <w:rPr>
          <w:rFonts w:ascii="黑体" w:hAnsi="黑体" w:eastAsia="黑体" w:cs="黑体"/>
          <w:sz w:val="22"/>
          <w:szCs w:val="28"/>
        </w:rPr>
      </w:pPr>
    </w:p>
    <w:p>
      <w:pPr>
        <w:spacing w:line="360" w:lineRule="auto"/>
        <w:jc w:val="center"/>
        <w:rPr>
          <w:rFonts w:ascii="黑体" w:hAnsi="黑体" w:eastAsia="黑体" w:cs="黑体"/>
          <w:sz w:val="22"/>
          <w:szCs w:val="28"/>
        </w:rPr>
      </w:pPr>
    </w:p>
    <w:p>
      <w:pPr>
        <w:spacing w:line="360" w:lineRule="auto"/>
        <w:jc w:val="center"/>
        <w:rPr>
          <w:rFonts w:ascii="黑体" w:hAnsi="黑体" w:eastAsia="黑体" w:cs="黑体"/>
          <w:sz w:val="22"/>
          <w:szCs w:val="28"/>
        </w:rPr>
      </w:pPr>
    </w:p>
    <w:p>
      <w:pPr>
        <w:spacing w:line="360" w:lineRule="auto"/>
        <w:jc w:val="center"/>
        <w:rPr>
          <w:rFonts w:ascii="黑体" w:hAnsi="黑体" w:eastAsia="黑体" w:cs="黑体"/>
          <w:sz w:val="22"/>
          <w:szCs w:val="28"/>
        </w:rPr>
      </w:pPr>
    </w:p>
    <w:p>
      <w:pPr>
        <w:rPr>
          <w:rFonts w:ascii="黑体" w:hAnsi="黑体" w:eastAsia="黑体" w:cs="黑体"/>
          <w:b/>
          <w:bCs/>
          <w:color w:val="FFFFFF"/>
          <w:spacing w:val="20"/>
          <w:sz w:val="28"/>
          <w:szCs w:val="28"/>
        </w:rPr>
      </w:pPr>
      <w:r>
        <w:rPr>
          <w:rFonts w:hint="eastAsia" w:ascii="黑体" w:hAnsi="黑体" w:eastAsia="黑体" w:cs="黑体"/>
          <w:b/>
          <w:bCs/>
          <w:color w:val="FFFFFF"/>
          <w:spacing w:val="20"/>
          <w:sz w:val="28"/>
          <w:szCs w:val="28"/>
        </w:rPr>
        <w:t>法典籍，国泰民安的守护神；弘扬法治</w:t>
      </w:r>
    </w:p>
    <w:p>
      <w:pPr>
        <w:rPr>
          <w:rFonts w:ascii="黑体" w:hAnsi="黑体" w:eastAsia="黑体" w:cs="黑体"/>
          <w:sz w:val="28"/>
          <w:szCs w:val="28"/>
        </w:rPr>
      </w:pPr>
    </w:p>
    <w:p>
      <w:pPr>
        <w:spacing w:line="500" w:lineRule="exact"/>
        <w:rPr>
          <w:rFonts w:ascii="黑体" w:hAnsi="黑体" w:eastAsia="黑体" w:cs="黑体"/>
          <w:b/>
          <w:bCs/>
          <w:color w:val="FFFFFF"/>
          <w:spacing w:val="20"/>
          <w:sz w:val="28"/>
          <w:szCs w:val="28"/>
        </w:rPr>
      </w:pPr>
      <w:r>
        <w:rPr>
          <w:rFonts w:hint="eastAsia" w:ascii="黑体" w:hAnsi="黑体" w:eastAsia="黑体" w:cs="黑体"/>
          <w:b/>
          <w:bCs/>
          <w:color w:val="FFFFFF"/>
          <w:spacing w:val="20"/>
          <w:sz w:val="28"/>
          <w:szCs w:val="28"/>
          <w:highlight w:val="blue"/>
        </w:rPr>
        <w:t>新法规速递</w:t>
      </w:r>
    </w:p>
    <w:p>
      <w:pPr>
        <w:spacing w:line="500" w:lineRule="exact"/>
        <w:rPr>
          <w:rFonts w:ascii="黑体" w:hAnsi="黑体" w:eastAsia="黑体" w:cs="黑体"/>
          <w:b/>
          <w:bCs/>
          <w:color w:val="FFFFFF"/>
          <w:spacing w:val="20"/>
          <w:sz w:val="24"/>
          <w:szCs w:val="24"/>
        </w:rPr>
      </w:pPr>
    </w:p>
    <w:p>
      <w:pPr>
        <w:spacing w:line="500" w:lineRule="exact"/>
        <w:ind w:firstLine="480" w:firstLineChars="200"/>
        <w:jc w:val="left"/>
        <w:rPr>
          <w:rFonts w:hint="eastAsia" w:ascii="宋体" w:hAnsi="宋体" w:eastAsia="宋体" w:cs="宋体"/>
          <w:b/>
          <w:bCs/>
          <w:sz w:val="24"/>
          <w:szCs w:val="24"/>
        </w:rPr>
      </w:pPr>
      <w:r>
        <w:rPr>
          <w:rFonts w:hint="eastAsia" w:ascii="微软雅黑" w:hAnsi="微软雅黑" w:eastAsia="微软雅黑" w:cs="微软雅黑"/>
          <w:b/>
          <w:bCs/>
          <w:sz w:val="24"/>
          <w:szCs w:val="24"/>
        </w:rPr>
        <w:t xml:space="preserve">█ </w:t>
      </w:r>
      <w:r>
        <w:rPr>
          <w:rFonts w:hint="eastAsia" w:ascii="宋体" w:hAnsi="宋体" w:eastAsia="宋体" w:cs="宋体"/>
          <w:b/>
          <w:bCs/>
          <w:sz w:val="24"/>
          <w:szCs w:val="24"/>
        </w:rPr>
        <w:t>最高法民一庭相关负责人就典型案例答记者问</w:t>
      </w:r>
    </w:p>
    <w:p>
      <w:pPr>
        <w:spacing w:line="500" w:lineRule="exact"/>
        <w:ind w:firstLine="482" w:firstLineChars="200"/>
        <w:jc w:val="left"/>
        <w:rPr>
          <w:rFonts w:hint="eastAsia" w:ascii="宋体" w:hAnsi="宋体" w:eastAsia="宋体" w:cs="宋体"/>
          <w:b/>
          <w:bCs w:val="0"/>
          <w:sz w:val="24"/>
          <w:szCs w:val="24"/>
        </w:rPr>
      </w:pPr>
      <w:r>
        <w:rPr>
          <w:rFonts w:hint="eastAsia" w:ascii="宋体" w:hAnsi="宋体" w:eastAsia="宋体" w:cs="宋体"/>
          <w:b/>
          <w:bCs w:val="0"/>
          <w:sz w:val="24"/>
          <w:szCs w:val="24"/>
        </w:rPr>
        <w:t>近年来，最高人民法院在发挥审判职能弘扬和践行社会主义核心价值观方面采取了哪些举措、有什么亮点？</w:t>
      </w:r>
    </w:p>
    <w:p>
      <w:pPr>
        <w:spacing w:line="500" w:lineRule="exact"/>
        <w:ind w:firstLine="480" w:firstLineChars="200"/>
        <w:jc w:val="left"/>
        <w:rPr>
          <w:rFonts w:hint="eastAsia" w:ascii="宋体" w:hAnsi="宋体" w:eastAsia="宋体" w:cs="宋体"/>
          <w:bCs/>
          <w:sz w:val="24"/>
          <w:szCs w:val="24"/>
        </w:rPr>
      </w:pPr>
      <w:r>
        <w:rPr>
          <w:rFonts w:hint="eastAsia" w:ascii="宋体" w:hAnsi="宋体" w:eastAsia="宋体" w:cs="宋体"/>
          <w:bCs/>
          <w:sz w:val="24"/>
          <w:szCs w:val="24"/>
        </w:rPr>
        <w:t>答：习近平总书记指出：“要坚持依法治国和以德治国相结合，实现法治和德治相辅相成、相得益彰。”最高人民法院坚持以习近平新时代中国特色社会主义思想为指导，深入贯彻习近平法治思想，自觉将社会主义核心价值观融入审判执行工作，通过制定司法解释和司法政策、发布典型案例、运用社会主义核心价值观强化裁判文书释法说理、加强法治宣传等多种形式，积极推进在审判执行工作中大力弘扬社会主义核心价值观，将法治与德治相结合，在法治轨道上明规则、破难题、扬正气、树新风，使司法审判成为践行社会主义核心价值观的生动实践。主要开展了以下三方面工作：</w:t>
      </w:r>
    </w:p>
    <w:p>
      <w:pPr>
        <w:spacing w:line="500" w:lineRule="exact"/>
        <w:ind w:firstLine="480" w:firstLineChars="200"/>
        <w:jc w:val="left"/>
        <w:rPr>
          <w:rFonts w:hint="eastAsia" w:ascii="宋体" w:hAnsi="宋体" w:eastAsia="宋体" w:cs="宋体"/>
          <w:bCs/>
          <w:sz w:val="24"/>
          <w:szCs w:val="24"/>
        </w:rPr>
      </w:pPr>
      <w:r>
        <w:rPr>
          <w:rFonts w:hint="eastAsia" w:ascii="宋体" w:hAnsi="宋体" w:eastAsia="宋体" w:cs="宋体"/>
          <w:bCs/>
          <w:sz w:val="24"/>
          <w:szCs w:val="24"/>
        </w:rPr>
        <w:t>一是完善司法解释和司法政策，为弘扬和践行社会主义核心价值观提供制度保障。制定民法典时间效力的规定，将更有利于弘扬社会主义核心价值观作为法律可溯及既往的标准；制定关于夫妻债务认定的司法解释，有力扭转了实践中出现的配偶“被负债”现象，弘扬了诚信、友善的价值观，宣扬了夫妻平等的价值理念；制定在人民法院工作中培育和践行社会主义核心价值观的意见，就人民法院如何在坚持司法为民、忠于宪法法律、尊重保障人权等十一个方面运用社会主义核心价值观作出详细要求；印发加强“红色经典”和英雄烈士合法权益司法保护弘扬社会主义核心价值观的通知，引导社会公众特别是广大青少年自觉抵制“低俗、庸俗、媚俗”，抵制历史虚无主义，维护社会公共利益。</w:t>
      </w:r>
    </w:p>
    <w:p>
      <w:pPr>
        <w:spacing w:line="500" w:lineRule="exact"/>
        <w:ind w:firstLine="480" w:firstLineChars="200"/>
        <w:jc w:val="left"/>
        <w:rPr>
          <w:rFonts w:hint="eastAsia" w:ascii="宋体" w:hAnsi="宋体" w:eastAsia="宋体" w:cs="宋体"/>
          <w:bCs/>
          <w:sz w:val="24"/>
          <w:szCs w:val="24"/>
        </w:rPr>
      </w:pPr>
      <w:r>
        <w:rPr>
          <w:rFonts w:hint="eastAsia" w:ascii="宋体" w:hAnsi="宋体" w:eastAsia="宋体" w:cs="宋体"/>
          <w:bCs/>
          <w:sz w:val="24"/>
          <w:szCs w:val="24"/>
        </w:rPr>
        <w:t>二是推进社会主义核心价值观融入裁判文书释法说理，让裁判文书成为弘扬社会主义核心价值观的生动教材。制定深入推进社会主义核心价值观融入裁判文书释法说理的意见，要求对涉及国家利益、重大公共利益等六类案件，强化运用社会主义核心价值观释法说理。据统计，2022年，全国法院在法律框架内运用社会主义核心价值观释法说理的一审民事案件达38.25万件，比2021年增长21.66%，广布于民间借贷纠纷、买卖合同纠纷、信用卡纠纷等民事案件，推动社会主义核心价值观转化为广大人民群众的情感认同和行为自觉。</w:t>
      </w:r>
    </w:p>
    <w:p>
      <w:pPr>
        <w:spacing w:line="500" w:lineRule="exact"/>
        <w:ind w:firstLine="480" w:firstLineChars="200"/>
        <w:jc w:val="left"/>
        <w:rPr>
          <w:rFonts w:hint="eastAsia" w:ascii="宋体" w:hAnsi="宋体" w:eastAsia="宋体" w:cs="宋体"/>
          <w:bCs/>
          <w:sz w:val="24"/>
          <w:szCs w:val="24"/>
        </w:rPr>
      </w:pPr>
      <w:r>
        <w:rPr>
          <w:rFonts w:hint="eastAsia" w:ascii="宋体" w:hAnsi="宋体" w:eastAsia="宋体" w:cs="宋体"/>
          <w:bCs/>
          <w:sz w:val="24"/>
          <w:szCs w:val="24"/>
        </w:rPr>
        <w:t>三是充分挖掘案例资源，用“小案例”阐释“大道理”。最高人民法院先后发布弘扬社会主义核心价值观典型案例、保护英雄人物人格权益典型案例、弘扬社会主义核心价值观指导性案例、涉英烈权益保护十大典型案例、第一批和第二批人民法院大力弘扬社会主义核心价值观典型民事案例。本次发布的是第三批典型民事案例。相关典型案例和指导性案例的发布，为指导司法审判、引领社会风尚提供裁判准则和道德支撑，崇尚和爱戴英雄进一步成为社会共识，历史虚无主义、英雄污名化等不良风气得到了有效遏制；破解了长期困扰群众的“扶不扶”“劝不劝”“追不追”“救不救”“为不为”“管不管”等法律和道德风险，坚决防止“谁能闹谁有理”“谁横谁有理”“谁受伤谁有理”等和稀泥做法；弘扬孝亲敬老、助人为乐、见义勇为等文明风尚，引领社风、家风向上向善，使社会主义核心价值观更加深入人心。</w:t>
      </w:r>
    </w:p>
    <w:p>
      <w:pPr>
        <w:spacing w:line="500" w:lineRule="exact"/>
        <w:ind w:firstLine="482" w:firstLineChars="200"/>
        <w:jc w:val="left"/>
        <w:rPr>
          <w:rFonts w:hint="eastAsia" w:ascii="宋体" w:hAnsi="宋体" w:eastAsia="宋体" w:cs="宋体"/>
          <w:bCs/>
          <w:sz w:val="24"/>
          <w:szCs w:val="24"/>
        </w:rPr>
      </w:pPr>
      <w:r>
        <w:rPr>
          <w:rFonts w:hint="eastAsia" w:ascii="宋体" w:hAnsi="宋体" w:eastAsia="宋体" w:cs="宋体"/>
          <w:b/>
          <w:bCs w:val="0"/>
          <w:sz w:val="24"/>
          <w:szCs w:val="24"/>
        </w:rPr>
        <w:t>本次发布案例对于全社会弘扬和践行社会主义核心价值观具有什么意义、有什么特点？</w:t>
      </w:r>
    </w:p>
    <w:p>
      <w:pPr>
        <w:spacing w:line="500" w:lineRule="exact"/>
        <w:ind w:firstLine="480" w:firstLineChars="200"/>
        <w:jc w:val="left"/>
        <w:rPr>
          <w:rFonts w:hint="eastAsia" w:ascii="宋体" w:hAnsi="宋体" w:eastAsia="宋体" w:cs="宋体"/>
          <w:bCs/>
          <w:sz w:val="24"/>
          <w:szCs w:val="24"/>
        </w:rPr>
      </w:pPr>
      <w:r>
        <w:rPr>
          <w:rFonts w:hint="eastAsia" w:ascii="宋体" w:hAnsi="宋体" w:eastAsia="宋体" w:cs="宋体"/>
          <w:bCs/>
          <w:sz w:val="24"/>
          <w:szCs w:val="24"/>
        </w:rPr>
        <w:t>答：本次发布的典型案例对于弘扬英烈精神、促进职场文明、匡正社会风气、净化网络空间、提倡尊老爱幼、保护婚姻自由、增强法治意识具有积极意义，主要具有以下四个特点：</w:t>
      </w:r>
    </w:p>
    <w:p>
      <w:pPr>
        <w:spacing w:line="500" w:lineRule="exact"/>
        <w:ind w:firstLine="480" w:firstLineChars="200"/>
        <w:jc w:val="left"/>
        <w:rPr>
          <w:rFonts w:hint="eastAsia" w:ascii="宋体" w:hAnsi="宋体" w:eastAsia="宋体" w:cs="宋体"/>
          <w:bCs/>
          <w:sz w:val="24"/>
          <w:szCs w:val="24"/>
        </w:rPr>
      </w:pPr>
      <w:r>
        <w:rPr>
          <w:rFonts w:hint="eastAsia" w:ascii="宋体" w:hAnsi="宋体" w:eastAsia="宋体" w:cs="宋体"/>
          <w:bCs/>
          <w:sz w:val="24"/>
          <w:szCs w:val="24"/>
        </w:rPr>
        <w:t>一是紧系爱国情怀和社会公益弘扬社会主义核心价值观。本次发布的典型案例中，案例一对在烈士墓前不敬摆拍等不文明行为旗帜鲜明亮明观点，依法判决踩踏烈士墓碑底座、在墓碑前不敬摆拍的违法行为人承担刑事和民事责任，引导公众文明参观英烈设施，弘扬英烈精神，传承爱国情怀。案例二认定劝阻影响公交司机安全驾驶行为是正义之举，被劝阻人影响公交司机安全驾驶和纠缠拉扯劝阻人行为不适当，劝阻人挣脱抓扯不违法、对被劝阻人受伤不担责。案例七认定向未成年人提供内容不健康网络服务的合同无效，支持原告关于退还充值款的诉讼请求，为未成年人营造文明、健康、清朗的网络环境。</w:t>
      </w:r>
    </w:p>
    <w:p>
      <w:pPr>
        <w:spacing w:line="500" w:lineRule="exact"/>
        <w:ind w:firstLine="480" w:firstLineChars="200"/>
        <w:jc w:val="left"/>
        <w:rPr>
          <w:rFonts w:hint="eastAsia" w:ascii="宋体" w:hAnsi="宋体" w:eastAsia="宋体" w:cs="宋体"/>
          <w:bCs/>
          <w:sz w:val="24"/>
          <w:szCs w:val="24"/>
        </w:rPr>
      </w:pPr>
      <w:r>
        <w:rPr>
          <w:rFonts w:hint="eastAsia" w:ascii="宋体" w:hAnsi="宋体" w:eastAsia="宋体" w:cs="宋体"/>
          <w:bCs/>
          <w:sz w:val="24"/>
          <w:szCs w:val="24"/>
        </w:rPr>
        <w:t>二是紧贴群众生活弘扬社会主义核心价值观。这次发布案例多与人民群众生活密切相关，涉及人民群众普遍关心的问题。案例三认定自愿参加“广场舞”猝死，组织者无过错不担责，让人民群众从容组织开展自发性文体活动，促进全民健身。案例五认定女儿受母亲胁迫结婚可请求依法撤销婚姻，依法保护子女婚姻自由。案例八明确遭受职场性骚扰有权依法请求精神损害赔偿，向职场不文明行为说不。案例十明确劳动者请假照看病危父亲，用人单位应给予适当善意和包容，推动构建和谐劳动关系、友善人际关系，让病重病危老人得到子女的照料。</w:t>
      </w:r>
    </w:p>
    <w:p>
      <w:pPr>
        <w:spacing w:line="500" w:lineRule="exact"/>
        <w:ind w:firstLine="480" w:firstLineChars="200"/>
        <w:jc w:val="left"/>
        <w:rPr>
          <w:rFonts w:hint="eastAsia" w:ascii="宋体" w:hAnsi="宋体" w:eastAsia="宋体" w:cs="宋体"/>
          <w:bCs/>
          <w:sz w:val="24"/>
          <w:szCs w:val="24"/>
        </w:rPr>
      </w:pPr>
      <w:r>
        <w:rPr>
          <w:rFonts w:hint="eastAsia" w:ascii="宋体" w:hAnsi="宋体" w:eastAsia="宋体" w:cs="宋体"/>
          <w:bCs/>
          <w:sz w:val="24"/>
          <w:szCs w:val="24"/>
        </w:rPr>
        <w:t>三是紧跟时代需要弘扬社会主义核心价值观。随着老龄人口增加，老年人情感需求受到社会广泛关注。案例四明确了丧子老人可对孙子女“隔代探望”，使祖父母在子女去世的情况下仍然能够与孙子女保持情感交流、生活交往，既慰藉老人情感，又促进孙子女健康成长。随着人口流动性增加，社会出现离异夫妻异地抚养子女需求，案例六展现了人民法院通过柔性司法、以调解方式实现父母异地共同抚养，让儿童利益得到最优保障；法官引用习近平总书记“七一”重要讲话内容，寄语孩子努力奋进、自强不息。案例九明确了劳动者有权拒绝用人单位以虚拟货币支付工资，保护劳动者工资权益，维护人民币法定货币地位。</w:t>
      </w:r>
    </w:p>
    <w:p>
      <w:pPr>
        <w:spacing w:line="500" w:lineRule="exact"/>
        <w:ind w:firstLine="480" w:firstLineChars="200"/>
        <w:jc w:val="left"/>
        <w:rPr>
          <w:rFonts w:hint="default" w:ascii="宋体" w:hAnsi="宋体" w:eastAsia="宋体" w:cs="宋体"/>
          <w:sz w:val="24"/>
          <w:szCs w:val="24"/>
          <w:lang w:val="en-US" w:eastAsia="zh-CN"/>
        </w:rPr>
      </w:pPr>
      <w:r>
        <w:rPr>
          <w:rFonts w:hint="eastAsia" w:ascii="宋体" w:hAnsi="宋体" w:eastAsia="宋体" w:cs="宋体"/>
          <w:bCs/>
          <w:sz w:val="24"/>
          <w:szCs w:val="24"/>
        </w:rPr>
        <w:t>四是紧扣法律规范弘扬社会主义核心价值观。本次发布的案例，将法治宣传教育与弘扬英烈精神、促进职场文明、褒扬孝亲敬老、提倡育小护幼、保护婚姻自由等道德风尚相结合，每个案例既说明行为规范，又阐释道德准则，使司法公正与人民群众的公正认知有机结合，推动实现普遍的法治信仰和社会价值观念。</w:t>
      </w:r>
      <w:r>
        <w:rPr>
          <w:rFonts w:hint="eastAsia" w:ascii="宋体" w:hAnsi="宋体" w:eastAsia="宋体" w:cs="宋体"/>
          <w:sz w:val="24"/>
          <w:szCs w:val="24"/>
          <w:lang w:val="en-US" w:eastAsia="zh-CN"/>
        </w:rPr>
        <w:t xml:space="preserve">  </w:t>
      </w:r>
    </w:p>
    <w:p>
      <w:pPr>
        <w:spacing w:line="500" w:lineRule="exact"/>
        <w:ind w:firstLine="480" w:firstLineChars="20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█第三批人民法院大力弘扬社会主义核心价值观典型民事案例</w:t>
      </w:r>
      <w:r>
        <w:rPr>
          <w:rFonts w:hint="eastAsia" w:ascii="微软雅黑" w:hAnsi="微软雅黑" w:eastAsia="微软雅黑" w:cs="微软雅黑"/>
          <w:b/>
          <w:bCs/>
          <w:sz w:val="24"/>
          <w:szCs w:val="24"/>
          <w:lang w:eastAsia="zh-CN"/>
        </w:rPr>
        <w:t>（</w:t>
      </w:r>
      <w:r>
        <w:rPr>
          <w:rFonts w:hint="eastAsia" w:ascii="微软雅黑" w:hAnsi="微软雅黑" w:eastAsia="微软雅黑" w:cs="微软雅黑"/>
          <w:b/>
          <w:bCs/>
          <w:sz w:val="24"/>
          <w:szCs w:val="24"/>
          <w:lang w:val="en-US" w:eastAsia="zh-CN"/>
        </w:rPr>
        <w:t>民事案例相关</w:t>
      </w:r>
      <w:r>
        <w:rPr>
          <w:rFonts w:hint="eastAsia" w:ascii="微软雅黑" w:hAnsi="微软雅黑" w:eastAsia="微软雅黑" w:cs="微软雅黑"/>
          <w:b/>
          <w:bCs/>
          <w:sz w:val="24"/>
          <w:szCs w:val="24"/>
          <w:lang w:eastAsia="zh-CN"/>
        </w:rPr>
        <w:t>）</w:t>
      </w:r>
    </w:p>
    <w:p>
      <w:pPr>
        <w:numPr>
          <w:ilvl w:val="0"/>
          <w:numId w:val="0"/>
        </w:numPr>
        <w:spacing w:line="500" w:lineRule="exact"/>
        <w:ind w:firstLine="482" w:firstLineChars="200"/>
        <w:jc w:val="left"/>
        <w:rPr>
          <w:rFonts w:hint="eastAsia" w:ascii="宋体" w:hAnsi="宋体" w:eastAsia="宋体" w:cs="宋体"/>
          <w:sz w:val="24"/>
          <w:szCs w:val="24"/>
          <w:lang w:eastAsia="zh-CN"/>
        </w:rPr>
      </w:pPr>
      <w:r>
        <w:rPr>
          <w:rFonts w:hint="eastAsia" w:ascii="宋体" w:hAnsi="宋体" w:eastAsia="宋体" w:cs="宋体"/>
          <w:b/>
          <w:bCs/>
          <w:sz w:val="24"/>
          <w:szCs w:val="24"/>
        </w:rPr>
        <w:t>案例一</w:t>
      </w:r>
      <w:r>
        <w:rPr>
          <w:rFonts w:hint="eastAsia" w:ascii="宋体" w:hAnsi="宋体" w:eastAsia="宋体" w:cs="宋体"/>
          <w:b/>
          <w:bCs/>
          <w:sz w:val="24"/>
          <w:szCs w:val="24"/>
          <w:lang w:eastAsia="zh-CN"/>
        </w:rPr>
        <w:t>：</w:t>
      </w:r>
      <w:r>
        <w:rPr>
          <w:rFonts w:hint="eastAsia" w:ascii="宋体" w:hAnsi="宋体" w:eastAsia="宋体" w:cs="宋体"/>
          <w:b/>
          <w:bCs/>
          <w:sz w:val="24"/>
          <w:szCs w:val="24"/>
        </w:rPr>
        <w:t>踩踏烈士墓碑底座、在墓碑前不敬摆拍应依法承担刑事和民事责任——李某侵害英雄烈士名誉、荣誉权纠纷案</w:t>
      </w:r>
    </w:p>
    <w:p>
      <w:pPr>
        <w:numPr>
          <w:ilvl w:val="0"/>
          <w:numId w:val="0"/>
        </w:numPr>
        <w:spacing w:line="500" w:lineRule="exact"/>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核心价值：英烈保护</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一、基本案情</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2021年7月15日，李某在康西瓦烈士陵园内踩踏刻有烈士陵园名称的石碑底座，斜倚碑身摆拍，后到陈祥榕（喀喇昆仑戍边烈士，2020年6月在边防斗争中壮烈牺牲，中央军委为他追记一等功）烈士墓前，脚踩墓碑底座，以不雅手势对着墓碑再次摆拍。同日12时许，李某将上述照片在微信朋友圈公开发布。经多名微信好友指出照片内容对烈士不尊重，李某遂将该内容删除。同日14时许，李某再次将照片发布至今日头条个人账号，在网络上迅速传播扩散，引发社会公众对李某的强烈愤慨，造成极其恶劣的社会影响。公诉机关暨附带民事公益诉讼起诉人以李某犯侵害英雄烈士名誉、荣誉罪提起公诉并提起附带英雄烈士保护民事公益诉讼，要求李某通过全国性媒体公开赔礼道歉，消除影响。</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二、裁判结果</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审理法院认为，李某公然藐视国家法律，踩踏烈士陵园石碑底座，斜倚碑身，脚踩墓碑底座，摆出不雅手势和不敬姿势拍照并两次上传网络，造成大量传播扩散，引发社会公众强烈愤慨，伤害社会公众的民族情感，损害社会公共利益，情节严重，其行为已构成侵害英雄烈士名誉、荣誉罪，依法应予惩处。审理法院根据李某的犯罪事实、性质、情节、认罪态度及对社会的危害程度，判决李某犯侵害英雄烈士名誉、荣誉罪，判处有期徒刑七个月，判令李某在全国性媒体公开赔礼道歉、消除影响。</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三、典型意义</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习近平总书记指出，实现我们的目标，需要英雄，需要英雄精神。我们要铭记一切为中华民族和中国人民作出贡献的英雄们，崇尚英雄，捍卫英雄，学习英雄，关爱英雄。无数英雄先烈是我们民族的脊梁，是我们不断开拓前进的勇气和力量所在。英雄烈士的事迹和精神是中华民族的历史记忆和宝贵的精神财富，是实现中华民族伟大复兴的强大动力，任何歪曲、丑化、亵渎、诋毁英雄烈士的行为均应受到社会的谴责。本案充分体现了人民法院弘扬英烈精神、捍卫英烈尊严的坚定立场，对于弘扬爱国、法治、文明的社会主义核心价值观具有积极意义。</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rPr>
        <w:t>案例二</w:t>
      </w:r>
      <w:r>
        <w:rPr>
          <w:rFonts w:hint="eastAsia" w:ascii="宋体" w:hAnsi="宋体" w:eastAsia="宋体" w:cs="宋体"/>
          <w:b/>
          <w:bCs/>
          <w:sz w:val="24"/>
          <w:szCs w:val="24"/>
          <w:lang w:eastAsia="zh-CN"/>
        </w:rPr>
        <w:t>：劝阻影响公交车安全驾驶行为，劝阻人挣脱抓扯对被劝阻人损伤不担责——刘某诉史某健康权纠纷案</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核心价值：文明出行</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2021年3月23日中午，刘某因未能在已取消的公交站台等候到公交车而心生不满，后刘某找到准确站台搭乘上公交车。在公交车行驶途中，刘某为泄愤，辱骂他人，并与公交车驾驶员发生口角。期间，史某规劝刘某不能与公交车驾驶员争吵，影响安全驾驶，刘某非但不听劝阻，反而再次与史某产生口角争执。两人在某公交车站广场处下车后，刘某故意拉住史某不让其离开，史某挣脱刘某，刘某在纠缠拉扯过程中倒地受伤，引发本案纠纷。</w:t>
      </w:r>
    </w:p>
    <w:p>
      <w:pPr>
        <w:numPr>
          <w:ilvl w:val="0"/>
          <w:numId w:val="0"/>
        </w:numPr>
        <w:spacing w:line="500" w:lineRule="exact"/>
        <w:ind w:firstLine="482" w:firstLineChars="200"/>
        <w:jc w:val="left"/>
        <w:rPr>
          <w:rFonts w:hint="eastAsia" w:ascii="宋体" w:hAnsi="宋体" w:eastAsia="宋体" w:cs="宋体"/>
          <w:sz w:val="24"/>
          <w:szCs w:val="24"/>
          <w:lang w:eastAsia="zh-CN"/>
        </w:rPr>
      </w:pPr>
      <w:r>
        <w:rPr>
          <w:rFonts w:hint="eastAsia" w:ascii="宋体" w:hAnsi="宋体" w:eastAsia="宋体" w:cs="宋体"/>
          <w:b/>
          <w:bCs/>
          <w:sz w:val="24"/>
          <w:szCs w:val="24"/>
          <w:lang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审理法院认为，刘某恣意妨碍公交车安全运行的行为，理应受到谴责，史某劝阻行为系理性的正当、正义行为，应当得到肯定，而刘某下车后继续故意纠缠拉扯史某，从而引发本案纠纷，系不当之举。后刘某在纠缠拉扯过程中受伤，依据事发当时公安机关的调查，刘某伤势系意外造成，史某不存在违法行为。故判决驳回刘某的全部诉讼请求。</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刘某因在公交车上与公交车驾驶员、史某接连发生口角，后为泄愤跟随史某下车，纠缠拉扯史某不让其离开，其行为既不理性，也不正当。史某为了公共安全，好意劝阻刘某影响公交车安全驾驶行为，具有合理性、正当性，主观上不存在过错。史某好意劝阻行为应当得到肯定。本案对于倡导文明出行、鼓励好意劝阻、维护公共安全具有积极意义，弘扬了文明、法治的社会主义核心价值观。</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案例三：自愿参加“广场舞”猝死，组织者无过错不担责——张某诉李某生命权、身体权和健康权纠纷案</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核心价值：公正法治</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李某系跳舞、军鼓爱好者，常年义务为社区群众教授舞蹈、军鼓等文娱活动，同参与活动的居民一起建立了微信群并被选为群主。2022年1月，张某某作为舞龙爱好者加入该群一起参与活动。同年1月16日上午6时，李某在微信群中通知打鼓队成员为当天表演活动进行集合彩排。张某某并非打鼓队成员但仍于上午8时到活动现场附近练习舞龙。上午8时30分，张某某在练习中晕倒。李某与其他成员立刻上前急救，并拨打急救电话，随后李某同救护车一起将张某某送至医院。但张某某最终抢救无效死亡，死因为心源性猝死。死者张某某之子张某认为李某对死者在活动中意外猝死存在过错，作为活动的组织者在对张某某抢救过程中未尽到救助义务，应承担侵权责任，遂将李某诉至人民法院要求赔偿各项损失共计62万余元。</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审理法院认为，张某某事发上午练习舞龙并非受李某的邀请，其发生意外，死因系心源性猝死，并非他人行为造成。李某虽系活动的组织者但其组织行为并无过错，作为非专业医护人员，李某与活动人员对张某某进行了必要的急救措施，并跟随救护车将张某某送至医院，尽到了作为组织者的安全保障义务，与张某某意外死亡之间没有因果关系，不应承担责任。</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随着全民健身热潮的兴起，越来越多的人民群众投身到晨练、广场舞的队伍中。这些活动多由邻里自发组织、自愿参加，无论是参与者还是组织者对其他参与者在活动中的行为及风险往往难以准确预判。如将这种不确定性风险强加给其他人，要求他人对这种不确定性承担责任，既不符合公平原则，也会阻碍这类健身活动的正常开展。本案处理结果既符合法律规定，也符合社会公众对公正的认知，使广大人民群众更加从容地参与到全民健身活动之中，享受运动快乐，有利于倡导公正、法治的社会主义核心价值观。</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案例四：丧子老人可对孙子女“隔代探望”——沙某某诉袁某某探望权纠纷案</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核心价值：尊老爱幼</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沙某某之子丁某甲与袁某某系夫妻关系，丁某甲与袁某某于2018年1月3日生育双胞胎男孩丁某乙、丁某丙。同年7月28日，丁某甲去世。丁某乙、丁某丙一直与袁某某共同生活。沙某某多次联系袁某某想见孙子，均被袁某某拒绝。沙某某向人民法院起诉请求每月探望孙子两次。</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审理法院认为，《中华人民共和国民法典》第一千零八十六条规定了不直接抚养子女的父亲或者母亲享有探望权，对祖父母或者外祖父母等其他近亲属是否享有探望权未作出规定。祖父母与孙子女的近亲属身份关系,不因子女离婚或去世而消灭。本案中，沙某某老年丧子，其探望孙子是寄托个人情感的需要，是保障未成年孙子健康成长的需要，是祖孙之间亲情连接和延续的重要方式，袁某某应予配合。鉴于沙某某长时间不能探望孙子，审理法院从有利于未成年人成长、不影响未成年人正常生活、促进家庭和谐的原则出发，判决沙某某每月第一个星期探望丁某乙、丁某丙一次，每次不超过两小时，双方探望前做好沟通，袁某某应予配合。</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习近平总书记指出，中华民族自古以来就重视家庭、重视亲情。家和万事兴、天伦之乐、尊老爱幼、贤妻良母、相夫教子、勤俭持家等，都体现了中国人的这种观念。法律规定虽然未明确将探望权的外延延伸至祖父母和外祖父母，但在子女健在的情况下，祖父母和外祖父母可以通过子女的探望权实现“探望”孙子女和外孙子女的目的；在子女死亡的情况下，允许丧子老人进行隔代探望，符合社会主义核心价值观和我国传统家庭伦理、社会道德，有益于慰藉老人情感和促进孩子健康成长，体现了司法的温度，实现了良法善治。</w:t>
      </w:r>
    </w:p>
    <w:p>
      <w:pPr>
        <w:numPr>
          <w:ilvl w:val="0"/>
          <w:numId w:val="0"/>
        </w:numPr>
        <w:spacing w:line="500" w:lineRule="exact"/>
        <w:ind w:firstLine="482" w:firstLineChars="200"/>
        <w:jc w:val="left"/>
        <w:rPr>
          <w:rFonts w:hint="eastAsia" w:ascii="宋体" w:hAnsi="宋体" w:eastAsia="宋体" w:cs="宋体"/>
          <w:sz w:val="24"/>
          <w:szCs w:val="24"/>
          <w:lang w:eastAsia="zh-CN"/>
        </w:rPr>
      </w:pPr>
      <w:r>
        <w:rPr>
          <w:rFonts w:hint="eastAsia" w:ascii="宋体" w:hAnsi="宋体" w:eastAsia="宋体" w:cs="宋体"/>
          <w:b/>
          <w:bCs/>
          <w:sz w:val="24"/>
          <w:szCs w:val="24"/>
          <w:lang w:eastAsia="zh-CN"/>
        </w:rPr>
        <w:t>案例五：子女受父母胁迫结婚可请求依法撤销婚姻——周某诉付某撤销婚姻纠纷案</w:t>
      </w:r>
    </w:p>
    <w:p>
      <w:pPr>
        <w:numPr>
          <w:ilvl w:val="0"/>
          <w:numId w:val="0"/>
        </w:numPr>
        <w:spacing w:line="500" w:lineRule="exact"/>
        <w:ind w:firstLine="482" w:firstLineChars="200"/>
        <w:jc w:val="left"/>
        <w:rPr>
          <w:rFonts w:hint="eastAsia" w:ascii="宋体" w:hAnsi="宋体" w:eastAsia="宋体" w:cs="宋体"/>
          <w:sz w:val="24"/>
          <w:szCs w:val="24"/>
          <w:lang w:eastAsia="zh-CN"/>
        </w:rPr>
      </w:pPr>
      <w:r>
        <w:rPr>
          <w:rFonts w:hint="eastAsia" w:ascii="宋体" w:hAnsi="宋体" w:eastAsia="宋体" w:cs="宋体"/>
          <w:b/>
          <w:bCs/>
          <w:sz w:val="24"/>
          <w:szCs w:val="24"/>
          <w:lang w:eastAsia="zh-CN"/>
        </w:rPr>
        <w:t>核心价值：婚姻自由</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女孩周某在其母亲安排下与付某相亲。因付某家庭条件较好，两家又系远房亲戚，周某母亲非常希望周某与付某缔结婚姻。在周某明确拒绝与付某交往后，周某母亲强行将在外地工作的周某接回家，并以死相逼，表示如周某不同意该婚事就将其赶出家门。周某害怕家庭关系破裂，又担心母亲寻短见，不得不与付某登记结婚并举办婚礼。婚后近一年时间里，双方并未建立夫妻感情，也从未有过夫妻生活。但周某母亲仍不准许周某提出离婚，母女俩多次争吵并发生肢体冲突。周某诉至人民法院，请求撤销其与付某之间的婚姻关系。</w:t>
      </w:r>
    </w:p>
    <w:p>
      <w:pPr>
        <w:numPr>
          <w:ilvl w:val="0"/>
          <w:numId w:val="0"/>
        </w:numPr>
        <w:spacing w:line="500" w:lineRule="exact"/>
        <w:ind w:firstLine="482" w:firstLineChars="200"/>
        <w:jc w:val="left"/>
        <w:rPr>
          <w:rFonts w:hint="eastAsia" w:ascii="宋体" w:hAnsi="宋体" w:eastAsia="宋体" w:cs="宋体"/>
          <w:sz w:val="24"/>
          <w:szCs w:val="24"/>
          <w:lang w:eastAsia="zh-CN"/>
        </w:rPr>
      </w:pPr>
      <w:r>
        <w:rPr>
          <w:rFonts w:hint="eastAsia" w:ascii="宋体" w:hAnsi="宋体" w:eastAsia="宋体" w:cs="宋体"/>
          <w:b/>
          <w:bCs/>
          <w:sz w:val="24"/>
          <w:szCs w:val="24"/>
          <w:lang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审理法院认为，《中华人民共和国民法典》第一千零五十二条第一款规定：“因胁迫结婚的，受胁迫的一方可以向人民法院请求撤销婚姻。”结婚应当是男女双方完全自愿的行为，禁止任何一方对另一方加以胁迫，禁止任何组织或者个人加以干涉。在周某多次明确提出不愿意和付某恋爱、结婚的情况下，周某母亲仍以将周某赶出家门、“死给周某看”等作为要挟，导致周某在违背自由意志的情况下与付某结婚。周某母亲的行为严重干涉了周某的婚姻自由，其行为构成胁迫。现周某要求撤销其与付某之间的婚姻符合法律规定，为维护当事人的合法权益，弘扬自由、文明的社会主义核心价值观，故判决撤销周某与付某之间的婚姻关系。</w:t>
      </w:r>
    </w:p>
    <w:p>
      <w:pPr>
        <w:numPr>
          <w:ilvl w:val="0"/>
          <w:numId w:val="0"/>
        </w:numPr>
        <w:spacing w:line="500" w:lineRule="exact"/>
        <w:ind w:firstLine="482" w:firstLineChars="200"/>
        <w:jc w:val="left"/>
        <w:rPr>
          <w:rFonts w:hint="eastAsia" w:ascii="宋体" w:hAnsi="宋体" w:eastAsia="宋体" w:cs="宋体"/>
          <w:sz w:val="24"/>
          <w:szCs w:val="24"/>
          <w:lang w:eastAsia="zh-CN"/>
        </w:rPr>
      </w:pPr>
      <w:r>
        <w:rPr>
          <w:rFonts w:hint="eastAsia" w:ascii="宋体" w:hAnsi="宋体" w:eastAsia="宋体" w:cs="宋体"/>
          <w:b/>
          <w:bCs/>
          <w:sz w:val="24"/>
          <w:szCs w:val="24"/>
          <w:lang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母亲要求女儿按自己的意愿组建家庭，虽然本意是希望女儿能有一个幸福的归宿，但以死相逼，胁迫女儿与相亲对象结婚，不仅没有让女儿获得如期的幸福，反而给女儿带来痛苦和绝望。在子女婚恋问题上，父母“该放手时应放手”，可以做好参谋但不能代作决断、强行干预，否则不但会侵害子女的婚姻自由、伤害父母子女之间的血脉亲情，也会违反法律规定。本案判决撤销周某与付某之间的婚姻关系，既保护了周某个人的合法权益，也向整个社会传达了婚姻自由的理念，有利于倡导独立、自主的婚姻观和自由、法治的社会主义核心价值观。</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案例六：父母异地共同抚养让儿童利益得到最优保障——李某诉朱某甲变更抚养关系纠纷案</w:t>
      </w:r>
    </w:p>
    <w:p>
      <w:pPr>
        <w:numPr>
          <w:ilvl w:val="0"/>
          <w:numId w:val="0"/>
        </w:numPr>
        <w:spacing w:line="500" w:lineRule="exact"/>
        <w:ind w:firstLine="482" w:firstLineChars="200"/>
        <w:jc w:val="left"/>
        <w:rPr>
          <w:rFonts w:hint="eastAsia" w:ascii="宋体" w:hAnsi="宋体" w:eastAsia="宋体" w:cs="宋体"/>
          <w:sz w:val="24"/>
          <w:szCs w:val="24"/>
          <w:lang w:eastAsia="zh-CN"/>
        </w:rPr>
      </w:pPr>
      <w:r>
        <w:rPr>
          <w:rFonts w:hint="eastAsia" w:ascii="宋体" w:hAnsi="宋体" w:eastAsia="宋体" w:cs="宋体"/>
          <w:b/>
          <w:bCs/>
          <w:sz w:val="24"/>
          <w:szCs w:val="24"/>
          <w:lang w:eastAsia="zh-CN"/>
        </w:rPr>
        <w:t>核心价值：关爱儿童</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朱某甲与李某协议离婚，双方同城居住，约定未成年儿子朱某乙由朱某甲抚养，李某每月给付抚养费，每周末接走探望并送回，时间有变动另行商定。2020年初，朱某甲因工作调动在未征得李某同意的情况下携朱某乙迁居至外埠生活，双方就孩子抚养问题产生争议。李某担心环境变化、两地分隔导致自己无法及时探望陪伴朱某乙，向人民法院起诉请求判决变更抚养关系。</w:t>
      </w:r>
    </w:p>
    <w:p>
      <w:pPr>
        <w:numPr>
          <w:ilvl w:val="0"/>
          <w:numId w:val="0"/>
        </w:numPr>
        <w:spacing w:line="500" w:lineRule="exact"/>
        <w:ind w:firstLine="482" w:firstLineChars="200"/>
        <w:jc w:val="left"/>
        <w:rPr>
          <w:rFonts w:hint="eastAsia" w:ascii="宋体" w:hAnsi="宋体" w:eastAsia="宋体" w:cs="宋体"/>
          <w:sz w:val="24"/>
          <w:szCs w:val="24"/>
          <w:lang w:eastAsia="zh-CN"/>
        </w:rPr>
      </w:pPr>
      <w:r>
        <w:rPr>
          <w:rFonts w:hint="eastAsia" w:ascii="宋体" w:hAnsi="宋体" w:eastAsia="宋体" w:cs="宋体"/>
          <w:b/>
          <w:bCs/>
          <w:sz w:val="24"/>
          <w:szCs w:val="24"/>
          <w:lang w:eastAsia="zh-CN"/>
        </w:rPr>
        <w:t>二、处理结果</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审理法院认为，朱某乙已年满八周岁，依照《中华人民共和国民法典》第一千零八十四条的规定，审理法院征询了朱某乙意见，其明确表示愿同朱某甲在外埠生活。考虑到孩子在父母离婚后的抚养争议中将再度面临亲情的割裂，带来新的情感和心理创伤。在充分了解当事人情感需求及孩子心理状态基础上，审理法院坚持柔性司法，通过诚挚沟通，科学规划，最终促成双方达成最有利于未成年人的协商意见：双方分段利用时间、异地共同抚养、双方共尽义务、共担探视成本、递进抚养费用。本案一揽子解决异地抚养等一系列问题， 法官引用习近平总书记“七一”重要讲话内容，寄语孩子努力奋进、自强不息。</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婚姻破裂，受伤害最大的通常是未成年子女。父母争夺抚养权的“战争”则可能再次将未成年子女拖入“斗争泥潭”，不利于其身心健康。本案以调解实现对未成年子女的最优保护，以柔性司法巧妙化解离异夫妻对孩子的异地抚养之争，为当前人口跨地域迁徙流动增多情况下解决离异夫妻异地抚养未成年子女问题探索出成功范例。通过异地共同抚养创新方案化解纠纷，让孩子在父母双方关爱和教育下健康成长，从而得到双重关爱和全面监护，有利于促进家庭和谐和社会稳定，有利于实现未成年人利益最大化目标，有利于弘扬和谐、文明、法治的社会主义核心价值观。</w:t>
      </w:r>
    </w:p>
    <w:p>
      <w:pPr>
        <w:numPr>
          <w:ilvl w:val="0"/>
          <w:numId w:val="0"/>
        </w:numPr>
        <w:spacing w:line="500" w:lineRule="exact"/>
        <w:ind w:firstLine="482" w:firstLineChars="200"/>
        <w:jc w:val="left"/>
        <w:rPr>
          <w:rFonts w:hint="eastAsia" w:ascii="宋体" w:hAnsi="宋体" w:eastAsia="宋体" w:cs="宋体"/>
          <w:sz w:val="24"/>
          <w:szCs w:val="24"/>
          <w:lang w:eastAsia="zh-CN"/>
        </w:rPr>
      </w:pPr>
      <w:r>
        <w:rPr>
          <w:rFonts w:hint="eastAsia" w:ascii="宋体" w:hAnsi="宋体" w:eastAsia="宋体" w:cs="宋体"/>
          <w:b/>
          <w:bCs/>
          <w:sz w:val="24"/>
          <w:szCs w:val="24"/>
          <w:lang w:eastAsia="zh-CN"/>
        </w:rPr>
        <w:t>案例七：向未成年人提供内容不健康网络服务的合同无效——唐某诉某网络科技有限公司网络服务合同纠纷案</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核心价值：社风文明</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唐某于2007年出生，系未成年人。2019年5月25日至2020年12月19日期间，唐某使用其微信账号向某网络科技有限公司运营的某漫画平台充值浏览漫画，共支付1466元，形成25笔订单。唐某认为，某网络科技有限公司未尽到有效识别未成年人的义务，未对其消费行为和漫画内容进行必要限制。从唐某阅读以及平台推送的内容看，某网络科技有限公司提供的漫画会对其身心造成损害，违背了公序良俗。唐某向人民法院起诉，请求认定双方订立的网络服务合同无效，判令某网络科技有限公司退还充值款1466元。</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审理法院认为，对于未成年人这一特殊群体，在判断行为效力时，应注重对行为是否违背公序良俗的审查，并遵循最有利于未成年人的原则。某网络科技有限公司作为网络服务提供者，向未成年人提供的漫画内容中，既包含行政规章规定的互联网文化单位不得提供的文化产品，也包含大量刺激性、挑逗性语言、裸露的画面以及大量不健康内容。案涉漫画内容会对未成年人的身心健康造成损害，对未成年人价值观养成产生错误引导，诱发未成年人对漫画内容进行模仿，对未成年人本人、所在家庭和关联群体产生不良影响，与强化未成年人保护的社会共识明显相悖。案涉合同内容违背公序良俗，应属无效。故判决双方订立的网络服务合同无效，某网络科技有限公司返还唐某充值款1466元。</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强化对未成年人的保护，让未成年人健康成长，是社会共同追求的价值与目标。本案以网络文化产品内容不健康、违背公序良俗为由，认定网络服务合同无效，一方面强调网络服务提供者应当秉持诚信的核心价值观，依法完善服务内容，另一方面发挥司法引领作用，引导网络服务提供者、未成年人及其家长、社会各界共同遵循文明、友善、法治的社会主义核心价值观，将“爱幼”落实到具体生活中来，共同参与网络信息内容生态治理，为未成年人健康成长营造文明、健康、清朗的网络空间。</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案例八：遭受职场性骚扰有权依法请求精神损害赔偿——王某诉傅某性骚扰损害责任纠纷案</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核心价值：职场文明</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王某与傅某系同事关系。傅某为追求王某，不断拨打王某电话，频繁向王某发送骚扰短信，内容低俗、语言污秽。王某不堪其扰，将此事告知单位。在单位要求下，傅某两次写下保证书，保证不再骚扰王某。但此后傅某仍然通过电话、短信继续骚扰王某。2020年5月26日，王某以傅某骚扰、恐吓为由报警。2020年6月8日，某市公安局某分局确认傅某于2019年7月至2020年5月15日期间，违反法律规定，多次以发送骚扰短信、拨打骚扰电话方式干扰他人正常生活，决定给予傅某行政拘留七日并处罚款200元。因傅某频繁骚扰，王某被医院确诊患有抑郁发作，伴精神病性症状。王某认为，傅某的行为给其造成了严重的精神损害，向人民法院起诉请求判令傅某向其书面赔礼道歉，并赔偿其精神损害赔偿金50000元和医疗费等其他财产损失共计228300元。</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审理法院认为，《中华人民共和国妇女权益保障法》（2018年修正）第四十条规定，禁止对妇女实施性骚扰。任何人不得以身体、语言、动作、文字或者图像等方式，违背妇女意愿对妇女实施性骚扰。傅某通过电话、短信等方式对王某频繁实施性骚扰，侵害了王某的人格权，并对王某造成了极大的精神负担和身体伤害，其行为背离了社会主义核心价值观的基本要求，应当依法承担相应的法律责任。故判令傅某赔偿王某精神损害抚慰金30000元及医疗费等61804.2元，并向王某书面赔礼道歉。</w:t>
      </w:r>
    </w:p>
    <w:p>
      <w:pPr>
        <w:numPr>
          <w:ilvl w:val="0"/>
          <w:numId w:val="0"/>
        </w:numPr>
        <w:spacing w:line="500" w:lineRule="exact"/>
        <w:ind w:firstLine="482" w:firstLineChars="200"/>
        <w:jc w:val="left"/>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eastAsia="zh-CN"/>
        </w:rPr>
      </w:pPr>
      <w:r>
        <w:rPr>
          <w:rFonts w:hint="eastAsia" w:ascii="宋体" w:hAnsi="宋体" w:eastAsia="宋体" w:cs="宋体"/>
          <w:sz w:val="24"/>
          <w:szCs w:val="24"/>
          <w:lang w:eastAsia="zh-CN"/>
        </w:rPr>
        <w:t>本案明确指出性骚扰行为系对他人人格权的侵犯，严重背离了社会主义核心价值观的要求，侵权人应当依法承担赔礼道歉、赔偿精神损失等民事责任。本案判决不仅保护了受害人的合法权益，而且弘扬了文明、法治的社会主义核心价值观，有利于发挥司法裁判对社会行为的规范、引导作用，营造和谐的社会环境。</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p>
    <w:p>
      <w:pPr>
        <w:numPr>
          <w:ilvl w:val="0"/>
          <w:numId w:val="0"/>
        </w:numPr>
        <w:spacing w:line="500" w:lineRule="exact"/>
        <w:ind w:firstLine="480" w:firstLineChars="200"/>
        <w:jc w:val="left"/>
        <w:rPr>
          <w:rFonts w:hint="default" w:ascii="宋体" w:hAnsi="宋体" w:eastAsia="宋体" w:cs="宋体"/>
          <w:sz w:val="24"/>
          <w:szCs w:val="24"/>
          <w:lang w:val="en-US" w:eastAsia="zh-CN"/>
        </w:rPr>
      </w:pPr>
    </w:p>
    <w:p>
      <w:pPr>
        <w:spacing w:line="500" w:lineRule="exact"/>
        <w:ind w:firstLine="480" w:firstLineChars="20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█最高法民一庭负责人就网络消费典型案例答记者问</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3月15日是国际消费者权益日，最高人民法院举行新闻发布会，发布十件网络消费典型案例。最高人民法院副院长贺小荣、最高人民法院民一庭庭长陈宜芳、最高人民法院民一庭二级高级法官高燕竹出席发布会并答记者问，发布会由最高人民法院新闻发言人李广宇主持。</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一、问：今天是315国际消费者权益日，请问近年来，人民法院就消费者权益保护方面主要做了哪些工作？</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答：近年来，人民法院通过案件审理、制定司法解释和司法政策、发布典型案例、推进社会共治等方式加强消费者合法权益保护，为营造安全、有序、清朗的消费环境提供有力司法服务和保障。主要有以下方面工作。</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第一，妥善化解纠纷。消费类纠纷案件是民事纠纷案件主要类型之一。近年来，全国各级法院依法妥善审理大量住房、教育培训、食品药品等重点民生领域消费纠纷案件以及网络消费、预付式消费等新类型消费纠纷案件，严惩制售假冒伪劣商品、网络欺诈等行为，维护市场公平有序，支持和规范新业态经济发展，保障人民群众放心消费、安心消费。</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第二，完善司法制度。2020年12月，最高人民法院发布《关于审理食品安全民事纠纷案件适用法律若干问题的解释（一）》，对切断“黑作坊”食品经营链条、强化经营者标签标明义务等作出规定，守护人民群众“舌尖上的安全”。2022年3月，发布《关于审理网络消费纠纷案件适用法律若干问题的规定（一）》，对于网络直播营销、外卖餐饮等群众普遍关切的问题作出规定，依法保护数字经济背景下消费者合法权益。2022年7月，发布《关于为加快建设全国统一大市场提供司法服务和保障的意见》，提出完善扩大内需司法政策支撑体系、优化消费纠纷案件审理机制等举措，支持消费服务质量提升。2022年12月，发布《关于为促进消费提供司法服务和保障的意见》，提出依法规制霸王条款、预付式消费、新业态消费、快递服务、住房、个人信息保护等30条具体保障举措，全面加强消费者权益司法保护。</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第三，发布典型案例。2022年3月15日，最高人民法院发布了10件消费者权益保护典型案例、4月发布了10件涉药品安全典型案例。另外，发布的未成年人权益保护和老年人权益保护案例也有多件涉及消费者权益保护，通过个案裁判，发挥司法引领功能，彰显司法价值理念。</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第四，加强沟通协作。人民法院注重与相关部门沟通协作，2021年3月，最高人民法院联合最高人民检察院、农业农村部等六单位印发《探索建立食品安全民事公益诉讼惩罚性赔偿制度座谈会会议纪要》，探索建立食品安全民事公益诉讼惩罚性赔偿制度，维护市场秩序和社会公共利益。同时通过建立多元化解、长效沟通机制等方式，共同推动消费者权益保护工作迈上新台阶。</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二、近年来，人民法院审理了大量网络消费纠纷案件。请问与传统消费纠纷相比，网络消费纠纷有哪些自身的特点？</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答：网络消费纠纷与传统消费纠纷相比较，主要有以下几个特点：</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第一，交易主体复杂。传统的线下消费一般采用面对面交易方式，交易主体比较简单清晰。但在网络消费中，增加了网络平台运营商、网络支付平台、物流公司等主体，这也使得法律关系更加复杂，一定程度上增加了案件审理难度。在制度制定和案件审理中，首先要厘清法律关系，明确责任主体，同时也要特别注意处理好不同主体之间的权利冲突，做好利益平衡。</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第二，交易环境虚拟化。网络消费通过在线方式进行交易，经营者通过网络平台以文字、图片、视频等方式展示商品，双方以网络为媒介在虚拟化的环境中完成下单交易。这就要求在规则制定时充分考虑网络消费的特点，比如七天无理由退货就是为适应新型消费模式而设立的法律制度。</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第三，交易合同格式化。传统零售活动中，交易双方通常有更多机会对商品价格、质量等进行磋商后订立合同。而网络交易中经营者面对的是不特定的众多消费者，为了降低交易成本，通常采用格式合同进行交易。这就要求在案件审理中要处理好契约自由和契约正义的关系，在尊重当事人约定的同时也要进行合法性审查，比如要审查格式条款是否存在对消费者不公平不合理的情形。</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第四，新业态新模式不断涌现。数字经济领域的发展日新月异，直播营销、外卖餐饮、在线租赁、网络约车等新业态新模式不断涌现，这也给民商事审判提出了新要求，带来了新挑战。民商事审判中，要及时了解并不断适应数字经济发展新形势，坚持鼓励和规范并重，引导新业态健康发展，同时也注意为市场创新留出空间。</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三、刚刚闭幕的全国两会上，多名代表委员都很关心新业态新模式的发展，请问此次发布的典型案例中是如何体现对这方面的规范和引导？</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答：最高人民法院一直高度重视代表委员意见建议，我们此次发布的多个案例中都体现了对新业态新模式的司法引领，积极回应代表委员和人民群众关切。</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王某与甲公司产品责任纠纷一案，涉及外卖餐饮经营模式下平台经营者责任承担问题。该案裁判明确外卖餐饮平台经营者未依法尽到资质审核义务导致消费者合法权益受损的，应承担连带赔偿责任，通过压实平台经营者主体责任，确保人民群众的身体健康和生命安全不受侵害。</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熊某等诉某旅行社网络服务合同纠纷一案，涉及在线旅游平台经营模式下的消费者权益保障问题。线上预订服务提供者上游对接各类服务商或供应商，下游对接广大消费者，中间往往涉及多个环节，容易滋生侵害消费者权益的道德风险。该案裁判认定提供酒店在线预订服务方应当履行协助退订等合同附随义务，未履行义务的应当承担违约责任，防止消费者权益被不当减损，有利于促进在线旅游平台经营模式健康发展。</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王某诉陈某网络购物合同纠纷一案涉及二手物品交易模式。二手物品交易平台的出现有利于闲置物品的盘活、再利用。但在现实中，有些人在二手交易平台以交易闲置物品的名义进行经营行为，商品出现问题后又以仅是自用闲置物品交易为由拒绝承担经营者责任。该案裁判综合销售者出售商品的性质、来源、数量、价格、频率、收入等情况，认定以盈利为目的持续性销售二手商品的销售者，应当承担经营者责任，有利于更好地维护消费者合法权益，对于类似案件的处理具有借鉴意义。</w:t>
      </w:r>
    </w:p>
    <w:p>
      <w:pPr>
        <w:numPr>
          <w:ilvl w:val="0"/>
          <w:numId w:val="0"/>
        </w:numPr>
        <w:spacing w:line="5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rPr>
        <w:t>杨某与某租车公司车辆租赁合同纠纷一案涉及网络租车平台经营模式下消费者权益保护问题。在线租赁平台是数字化赋能的新型商业模式。实际经营中，存在经营者为降低成本、提高利润，为出租的汽车投保的保险金额与承诺投保的金额不符的情况。该案裁判通过判令在线租赁公司承担投保不足导致的赔偿责任，树立正确的价值导向，引导市场主体诚信经营，保障在线租车消费者的合法权益。</w:t>
      </w:r>
    </w:p>
    <w:p>
      <w:pPr>
        <w:numPr>
          <w:ilvl w:val="0"/>
          <w:numId w:val="0"/>
        </w:numPr>
        <w:spacing w:line="500" w:lineRule="exact"/>
        <w:ind w:firstLine="480" w:firstLineChars="200"/>
        <w:jc w:val="left"/>
        <w:rPr>
          <w:rFonts w:hint="eastAsia" w:ascii="宋体" w:hAnsi="宋体" w:eastAsia="宋体" w:cs="宋体"/>
          <w:b/>
          <w:bCs/>
          <w:sz w:val="24"/>
          <w:szCs w:val="24"/>
        </w:rPr>
      </w:pPr>
      <w:r>
        <w:rPr>
          <w:rFonts w:hint="eastAsia" w:ascii="微软雅黑" w:hAnsi="微软雅黑" w:eastAsia="微软雅黑" w:cs="微软雅黑"/>
          <w:b/>
          <w:bCs/>
          <w:sz w:val="24"/>
          <w:szCs w:val="24"/>
        </w:rPr>
        <w:t xml:space="preserve">█ </w:t>
      </w:r>
      <w:r>
        <w:rPr>
          <w:rFonts w:hint="eastAsia" w:ascii="宋体" w:hAnsi="宋体" w:eastAsia="宋体" w:cs="宋体"/>
          <w:b/>
          <w:bCs/>
          <w:sz w:val="24"/>
          <w:szCs w:val="24"/>
        </w:rPr>
        <w:t>网络消费典型案例</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案例1</w:t>
      </w:r>
      <w:r>
        <w:rPr>
          <w:rFonts w:hint="eastAsia" w:ascii="宋体" w:hAnsi="宋体" w:eastAsia="宋体" w:cs="宋体"/>
          <w:b/>
          <w:bCs/>
          <w:sz w:val="24"/>
          <w:szCs w:val="24"/>
          <w:lang w:eastAsia="zh-CN"/>
        </w:rPr>
        <w:t>：</w:t>
      </w:r>
      <w:r>
        <w:rPr>
          <w:rFonts w:hint="eastAsia" w:ascii="宋体" w:hAnsi="宋体" w:eastAsia="宋体" w:cs="宋体"/>
          <w:b/>
          <w:bCs/>
          <w:sz w:val="24"/>
          <w:szCs w:val="24"/>
        </w:rPr>
        <w:t>不正当干预搜索结果的“负面内容压制”约定无效——某文化传播公司诉某信息技术公司网络服务合同纠纷案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【基本案情】</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原告某文化传播公司为某新能源电池品牌提供搜索引擎优化及线上传播服务。被告某信息技术公司与原告系合作关系，双方于2020年11月签订《委托合同》，该《委托合同》附件具体列明了被告应提供的各项服务内容。其中“软文优化”服务项目中的“负面压制”条款约定：被告对某新能源电池品牌方指定的关键词搜索引擎优化，实现某搜索引擎前5页无明显关于该品牌的负面内容，以及负面压制期为30天等。后原告以被告未按约完成负面压制服务为由诉请解除合同。</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审理法院认为，提供网络“负面压制”服务之约定是否有效，应当结合合同目的、行为方式、社会危害依法作出认定。从缔约目的看，负面压制目的违反诚实信用原则；从履行方式看，负面压制实质是掩饰了部分公众本可以获取的信息，影响公众对事物的客观和全面的认知；从行为危害性来看，负面压制行为损害消费者权益及市场竞争秩序，有损社会公共利益，违背公序良俗；从社会效果来看，负面压制行为扰乱互联网空间管理秩序，影响互联网公共空间的有序发展。综上，诉争“负面压制”条款具有违法性，依据《中华人民共和国民法总则》（2017年施行）第一百四十三条、《最高人民法院关于适用〈中华人民共和国民法典〉时间效力的若干规定》第一条规定，应认定为无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互联网时代，搜索引擎是重要流量来源以及流量分发渠道，搜索结果排序是搜索引擎最核心的部分。“负面内容压制”服务以营利为目的，通过算法技术等手段人为干预搜索结果排名，以实现正面前置，负面后置，严重影响消费者正常、客观、全面地获取信息，侵害消费者知情权，破坏公平有序市场竞争秩序，依法应认定为无效。本案裁判对于维护网络消费者知情权及互联网空间公共秩序具有积极意义。</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案例2</w:t>
      </w:r>
      <w:r>
        <w:rPr>
          <w:rFonts w:hint="eastAsia" w:ascii="宋体" w:hAnsi="宋体" w:eastAsia="宋体" w:cs="宋体"/>
          <w:b/>
          <w:bCs/>
          <w:sz w:val="24"/>
          <w:szCs w:val="24"/>
          <w:lang w:eastAsia="zh-CN"/>
        </w:rPr>
        <w:t>：</w:t>
      </w:r>
      <w:r>
        <w:rPr>
          <w:rFonts w:hint="eastAsia" w:ascii="宋体" w:hAnsi="宋体" w:eastAsia="宋体" w:cs="宋体"/>
          <w:b/>
          <w:bCs/>
          <w:sz w:val="24"/>
          <w:szCs w:val="24"/>
        </w:rPr>
        <w:t>商家因“差评”擅自公布消费者个人信息构成侵权——张某等人诉某商家网络侵权责任纠纷案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【基本案情】</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原告张某等人因不满被告某商家的“剧本杀”游戏服务，上网发布“差评”，该商家遂在微信公众号发布与张某等人的微信群聊记录、游戏包厢监控视频录像片段、微信个人账号信息，还称“可向公众提供全程监控录像”。张某等人认为商家上述行为侵害其隐私权和个人信息权益，起诉要求商家停止侵权、赔礼道歉及赔偿精神损失等。</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审理法院认为，消费者在经营者提供的包间内的活动具有私密性，商家为了澄清“差评”通过微信公众号公开消费者包间内监控录像并称可提供全程录像，构成对消费者隐私权的侵害；商家未经张某等人同意公布其微信个人账号信息，侵害了张某等人的个人信息权益。依据《中华人民共和国民法典》第一千零三十二条、第一千零三十三条、第一千零三十四条、《中华人民共和国个人信息保护法》第四条、第十三条规定，判令商家立即停止公开监控录像，删除公众号文章中“可向公众提供全程监控录像”表述及张某等人的微信个人账号信息，在微信公众号发布致歉声明，并向张某等人赔偿精神损害抚慰金。</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评价机制在网络消费领域中的作用日益明显，消费者提出批评意见的权利应予保护。经营者对其因提供商品或服务而获取的消费者个人信息负有保护义务，经营者公开回应消费者“差评”时，应注意不得侵犯消费者隐私权和个人信息权益。本案裁判厘清了经营者澄清消费者“差评”时的行为边界，维护了消费者合法权益，为网络消费信用评价机制的有序运行提供了司法保障。</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案例3</w:t>
      </w:r>
      <w:r>
        <w:rPr>
          <w:rFonts w:hint="eastAsia" w:ascii="宋体" w:hAnsi="宋体" w:eastAsia="宋体" w:cs="宋体"/>
          <w:b/>
          <w:bCs/>
          <w:sz w:val="24"/>
          <w:szCs w:val="24"/>
          <w:lang w:eastAsia="zh-CN"/>
        </w:rPr>
        <w:t>：</w:t>
      </w:r>
      <w:r>
        <w:rPr>
          <w:rFonts w:hint="eastAsia" w:ascii="宋体" w:hAnsi="宋体" w:eastAsia="宋体" w:cs="宋体"/>
          <w:b/>
          <w:bCs/>
          <w:sz w:val="24"/>
          <w:szCs w:val="24"/>
        </w:rPr>
        <w:t>未成年人超出其年龄智力程度购买游戏点卡监护人可依法追回充值款——张某某诉某数码科技有限公司网络买卖合同纠纷案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【基本案情】</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原告张某某的女儿张小某，出生于2011年，为小学五年级学生。张小某于2022年4月19日晚上在原告不知情的情况下使用原告的手机通过某直播平台，在主播诱导下通过原告支付宝账户支付给被告某数码科技有限公司经营的“某点卡专营店”5949.87元，用于购买游戏充值点卡，共计4笔。该4笔交易记录发生在2022年4月19日21时07分53秒至2022年4月19日21时30分00秒。原告认为，张小某作为限制民事行为能力人使用原告手机在半个小时左右的时间里从被告处购买游戏充值点卡达到5949.87元，并且在当天相近时间段内向其他游戏点卡网络经营者充值及进行网络直播打赏等消费10余万元，显然已经超出与其年龄、智力相适宜的范围，被告应当予以返还，遂诉至法院请求被告返还充值款5949.87元。</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审理法院认为：限制民事行为能力人实施的纯获利益的民事法律行为或者与其年龄、智力、精神状况相适应的民事法律行为有效；实施的其他民事法律行为经法定代理人同意或者追认后有效。本案中，原告张某某的女儿张小某为限制民事行为能力人，张小某使用其父支付宝账号分4次向被告经营的点卡专营店共支付5949.87元，该行为明显已经超出与其年龄、智力相适宜的程度，现原告对张小某的行为不予追认，被告应当将该款项退还原告。依据《中华人民共和国民法典》第十九条、第二十三条、第二十七条、第一百四十五条规定，判令被告返还原告充值款5949.87元。</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当前，随着互联网的普及，未成年人上网行为日常化，未成年人网络打赏、网络充值行为时有发生。本案裁判结合原告女儿在相近时间内其他充值打赏行为等情况，认定案涉充值行为明显超出与其年龄、智力相适宜的程度，被告应当返还充值款，依法维护未成年人合法权益，有利于为未成年人健康成长营造良好的网络空间和法治环境。</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案例4</w:t>
      </w:r>
      <w:r>
        <w:rPr>
          <w:rFonts w:hint="eastAsia" w:ascii="宋体" w:hAnsi="宋体" w:eastAsia="宋体" w:cs="宋体"/>
          <w:b/>
          <w:bCs/>
          <w:sz w:val="24"/>
          <w:szCs w:val="24"/>
          <w:lang w:eastAsia="zh-CN"/>
        </w:rPr>
        <w:t>：</w:t>
      </w:r>
      <w:r>
        <w:rPr>
          <w:rFonts w:hint="eastAsia" w:ascii="宋体" w:hAnsi="宋体" w:eastAsia="宋体" w:cs="宋体"/>
          <w:b/>
          <w:bCs/>
          <w:sz w:val="24"/>
          <w:szCs w:val="24"/>
        </w:rPr>
        <w:t>提供酒店在线预订服务方应当履行协助退订等合同附随义务——熊某等诉某旅行社网络服务合同纠纷案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【基本案情】</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原告熊某通过某旅游APP向被告某旅行社预订了“机票+酒店”自由行产品。出行前两日，因同行人员中原告儿子患病无法出行，原告遂向被告申请退订。被告就该酒店产品联系其中间供应商，中间供应商反馈“需要扣除每间每晚200元共计违约金800元，去申请且不保证结果”。但被告未将酒店取消政策告知原告，亦未继续要求供应商取消订单，而是告知原告该订单不可取消，如未实际入住将全额收取房费。熊某后未实际出行，诉至法院。审理中，经当庭拨打酒店客服电话，确认涉案订单当时的取消政策为“如自行取消要扣除每间每晚200元的违约金，如提供相关疾病证明则除节假日外可无损取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审理法院认为，本案双方是网络服务合同关系，被告提供服务的主要内容为通过相应渠道代原告预订其指定酒店，以使原告与酒店方顺利建立住宿服务合同关系。鉴于涉案服务合同履行的特殊性，预订等事宜并非由原告直接与相应产品提供方沟通确定，故在原告因同行人员患病需取消预订时，应当认为被告依法负有及时协助原告向酒店方申请取消订单、申请退款等合同附随义务，而非一经预订成功即视为全部义务已履行完毕。本案中，案涉酒店预订事实上可以取消，至多承担800元违约金，但被告未将该情况如实告知原告，依据《中华人民共和国民法典》第五百零九条之规定，应认定被告未能履行附随义务导致原告损失，被告应予以赔偿。</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现实生活中，人们通过在线旅游平台预订酒店等服务的情况十分常见。线上预订服务提供者上游对接各类服务商或供应商，下游对接广大消费者，中间往往涉及多个环节，容易滋生侵害消费者权益的道德风险。本案裁判认定提供酒店在线预订服务方应当履行协助退订等合同附随义务，防止消费者权益被不当减损，有利于促进在线旅游平台经营模式健康发展。</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案例5</w:t>
      </w:r>
      <w:r>
        <w:rPr>
          <w:rFonts w:hint="eastAsia" w:ascii="宋体" w:hAnsi="宋体" w:eastAsia="宋体" w:cs="宋体"/>
          <w:b/>
          <w:bCs/>
          <w:sz w:val="24"/>
          <w:szCs w:val="24"/>
          <w:lang w:eastAsia="zh-CN"/>
        </w:rPr>
        <w:t>：</w:t>
      </w:r>
      <w:r>
        <w:rPr>
          <w:rFonts w:hint="eastAsia" w:ascii="宋体" w:hAnsi="宋体" w:eastAsia="宋体" w:cs="宋体"/>
          <w:b/>
          <w:bCs/>
          <w:sz w:val="24"/>
          <w:szCs w:val="24"/>
        </w:rPr>
        <w:t>限时免单条款约定条件成就，经营者应当依约免单——张某与周某、某购物平台信息网络买卖合同纠纷案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【基本案情】</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被告周某在经营网上店铺过程中开展了“双12”限时免单活动，制定并公示了相关规则，原告张某在购买产品时参与了限时免单活动。张某在参与该次活动前向店铺客服咨询了免单的规则为付款优先者享受。但在张某付款时间在先的情况下，周某未按照规则给张某免单，张某认为周某构成违约，诉请周某退还其支付的货款。</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审理法院认为，根据《中华人民共和国合同法》（1999年施行）第十四条、第六十条、第四十四条、《中华人民共和国电子商务法》第四十九条规定，当事人关于限时免单的约定属于附条件履行义务的合同条款，消费者符合免单规则的要求，经营者即应当履行免单义务，否则构成违约。张某在参加活动前咨询客服获知的规则应视为此次活动的规则，双方应当遵守。张某付款时间在先，周某未按照免单规则为张某免单，构成违约，张某要求周某退还货款的行为，于法有据，应予支持。</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随着电子商务的蓬勃发展，各种形式的促销手段层出不穷。这些促销活动活跃了市场，刺激了消费，同时也伴生了一些损害消费者权益的问题。本案裁判进一步厘清了电子商务经营者进行免单、打折等各类促销活动制定的活动规则的法律性质，引导经营者依法依约诚信经营，切实保护消费者合法权益。</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案例6</w:t>
      </w:r>
      <w:r>
        <w:rPr>
          <w:rFonts w:hint="eastAsia" w:ascii="宋体" w:hAnsi="宋体" w:eastAsia="宋体" w:cs="宋体"/>
          <w:b/>
          <w:bCs/>
          <w:sz w:val="24"/>
          <w:szCs w:val="24"/>
          <w:lang w:eastAsia="zh-CN"/>
        </w:rPr>
        <w:t>：</w:t>
      </w:r>
      <w:r>
        <w:rPr>
          <w:rFonts w:hint="eastAsia" w:ascii="宋体" w:hAnsi="宋体" w:eastAsia="宋体" w:cs="宋体"/>
          <w:b/>
          <w:bCs/>
          <w:sz w:val="24"/>
          <w:szCs w:val="24"/>
        </w:rPr>
        <w:t>以盈利为目的持续性销售二手商品，应承担经营者责任——王某诉陈某网络购物合同纠纷案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【基本案情】</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2019年9月，原告王某为求学所需，在某二手交易平台中被告陈某处下单购买某品牌笔记本电脑一台，收货后发现该电脑外观磨损严重，无法正常充电使用，后送至官方售后检测发现电脑内部电池鼓胀、有非官方拆改和非原厂部件，与陈某所宣传的95成新明显不符，王某联系陈某退货退款遭拒。王某认为陈某构成欺诈，诉至法院请求陈某退款并按照价款三倍赔偿。陈某辩称，其在二手平台处理自用二手物品，不属于消费者权益保护法规定的经营者。</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审理法院认为，本次合同成立前，陈某通过其二手平台账号多次销售某品牌电脑等电子设备，非偶然、少量处理闲置物品，超过一般二手闲置物品处理的合理范畴，具有以盈利为目的持续性对外出售商品获利的意图，故陈某具有电子商务经营者身份。根据双方联系情况看，双方是以涉案电脑为正品电脑作为交易前提，而涉案电脑经检查设备内部固态硬盘非原装部件，设备有非官方拆改痕迹，即涉案电脑并非正品二手电脑。被告构成欺诈，应当承担惩罚性赔偿责任，依据《中华人民共和国消费者权益保护法》第五十五条之规定，判决陈某退款并按照货款三倍赔偿。</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闲置物品交易模式是数字经济中的一种典型模式。二手物品交易平台的出现有利于闲置物品的盘活、再利用。但在现实中，有些人在二手交易平台以交易闲置物品的名义进行经营行为，商品出现问题后又以是自用闲置物品交易为由拒绝承担经营者责任。本案裁判综合销售者出售商品的性质、来源、数量、价格、频率、收入等情况，认定以盈利为目的持续性销售二手商品的销售者应承担经营者责任，有利于更好地维护消费者合法权益，对于类似案件的处理具有借鉴意义。</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案例7</w:t>
      </w:r>
      <w:r>
        <w:rPr>
          <w:rFonts w:hint="eastAsia" w:ascii="宋体" w:hAnsi="宋体" w:eastAsia="宋体" w:cs="宋体"/>
          <w:b/>
          <w:bCs/>
          <w:sz w:val="24"/>
          <w:szCs w:val="24"/>
          <w:lang w:eastAsia="zh-CN"/>
        </w:rPr>
        <w:t>：</w:t>
      </w:r>
      <w:r>
        <w:rPr>
          <w:rFonts w:hint="eastAsia" w:ascii="宋体" w:hAnsi="宋体" w:eastAsia="宋体" w:cs="宋体"/>
          <w:b/>
          <w:bCs/>
          <w:sz w:val="24"/>
          <w:szCs w:val="24"/>
        </w:rPr>
        <w:t>电商经营者销售未标明生产日期的预包装食品，应承担惩罚性赔偿责任——彭某某诉某电子商务有限公司网络购物合同纠纷案</w:t>
      </w:r>
    </w:p>
    <w:p>
      <w:pPr>
        <w:numPr>
          <w:ilvl w:val="0"/>
          <w:numId w:val="0"/>
        </w:numPr>
        <w:spacing w:line="500" w:lineRule="exact"/>
        <w:ind w:firstLine="482" w:firstLineChars="200"/>
        <w:jc w:val="left"/>
        <w:rPr>
          <w:rFonts w:hint="eastAsia" w:ascii="宋体" w:hAnsi="宋体" w:eastAsia="宋体" w:cs="宋体"/>
          <w:b w:val="0"/>
          <w:bCs w:val="0"/>
          <w:sz w:val="24"/>
          <w:szCs w:val="24"/>
        </w:rPr>
      </w:pPr>
      <w:r>
        <w:rPr>
          <w:rFonts w:hint="eastAsia" w:ascii="宋体" w:hAnsi="宋体" w:eastAsia="宋体" w:cs="宋体"/>
          <w:b/>
          <w:bCs/>
          <w:sz w:val="24"/>
          <w:szCs w:val="24"/>
        </w:rPr>
        <w:t>【基本案情】</w:t>
      </w:r>
      <w:r>
        <w:rPr>
          <w:rFonts w:hint="eastAsia" w:ascii="宋体" w:hAnsi="宋体" w:eastAsia="宋体" w:cs="宋体"/>
          <w:b w:val="0"/>
          <w:bCs w:val="0"/>
          <w:sz w:val="24"/>
          <w:szCs w:val="24"/>
        </w:rPr>
        <w:t>原告彭某某在被告某电子商务公司开立的网络商铺购买了4份“XX压力瘦身糖果”（每份为2盒60粒），共计支付货款1475.60元后，该商铺通过快递向彭某送达货物。彭某某收到上述货物并食用部分后发现，商品包装盒上虽然注明：保质期24个月；生产商某纤瘦有限公司；生产地址XX省XX市XX区XXX号；生产日期见喷码，但是产品包装上均无相关生产日期的喷码标识，亦未查询到生产商的相关信息。彭某某遂以某电子商务公司销售不符合食品安全标准的食品为由诉至法院，要求某电子商务公司退还货款1475.60元并支付货款金额十倍的惩罚性赔偿金。</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审理法院认为，某电子商务公司作为食品经营者，在电商平台上销售无生产日期标识、虚构生产厂家的“XX压力瘦身糖果”，属于《中华人民共和国食品安全法》第一百四十八条规定的“生产不符合食品安全标准的食品或者经营明知是不符合食品安全标准的食品”的情形，依据《最高人民法院关于审理食品安全民事纠纷案件适用法律若干问题的解释（一）》第十一条规定，应当承担惩罚性赔偿责任，判决某电子商务公司退还彭某货款1475.60元，并支付货款金额十倍的赔偿金14756元。</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目前，大众通过网络购买食品十分普遍，同时，于消费者而言，网络食品因交易环境的虚拟化潜藏着一定的风险。预包装食品包装标签上缺少生产日期信息，消费者无法对食品安全作出判断，存在损害消费者身体健康和生命安全的重大隐患。本案裁判认定电商经营者销售未标明生产日期的预包装食品，应承担惩罚性赔偿责任，压实食品经营者主体责任，进一步规范网络食品交易秩序。</w:t>
      </w:r>
    </w:p>
    <w:p>
      <w:pPr>
        <w:numPr>
          <w:ilvl w:val="0"/>
          <w:numId w:val="0"/>
        </w:numPr>
        <w:spacing w:line="500" w:lineRule="exact"/>
        <w:ind w:firstLine="482" w:firstLineChars="200"/>
        <w:jc w:val="left"/>
        <w:rPr>
          <w:rFonts w:hint="eastAsia" w:ascii="宋体" w:hAnsi="宋体" w:eastAsia="宋体" w:cs="宋体"/>
          <w:b w:val="0"/>
          <w:bCs w:val="0"/>
          <w:sz w:val="24"/>
          <w:szCs w:val="24"/>
        </w:rPr>
      </w:pPr>
      <w:r>
        <w:rPr>
          <w:rFonts w:hint="eastAsia" w:ascii="宋体" w:hAnsi="宋体" w:eastAsia="宋体" w:cs="宋体"/>
          <w:b/>
          <w:bCs/>
          <w:sz w:val="24"/>
          <w:szCs w:val="24"/>
        </w:rPr>
        <w:t>案例8</w:t>
      </w:r>
      <w:r>
        <w:rPr>
          <w:rFonts w:hint="eastAsia" w:ascii="宋体" w:hAnsi="宋体" w:eastAsia="宋体" w:cs="宋体"/>
          <w:b/>
          <w:bCs/>
          <w:sz w:val="24"/>
          <w:szCs w:val="24"/>
          <w:lang w:eastAsia="zh-CN"/>
        </w:rPr>
        <w:t>：</w:t>
      </w:r>
      <w:r>
        <w:rPr>
          <w:rFonts w:hint="eastAsia" w:ascii="宋体" w:hAnsi="宋体" w:eastAsia="宋体" w:cs="宋体"/>
          <w:b/>
          <w:bCs/>
          <w:sz w:val="24"/>
          <w:szCs w:val="24"/>
        </w:rPr>
        <w:t>外卖平台未审核餐饮服务提供者资质应承担连带责任——王某与甲公司产品责任纠纷案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【基本案情】</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被告甲公司运营某外卖餐饮平台，提供外卖订餐服务，并向消费者郑重承诺：我平台已对入网餐饮服务提供者的食品经营许可证进行严格的实地审查，并保证入网餐饮服务提供者食品经营许可证载明的经营者名称、经营场所、主体业态、经营项目、有效期等许可信息合法、真实、准确、有效。原告王某在该平台上一家麻辣烫店铺购买了一份麻辣烫，后发现该麻辣烫店铺未取得食品经营许可证。王某诉至法院，要求甲公司与该麻辣烫店铺承担连带赔偿责任。</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审理法院认为：甲公司经营的外卖餐饮平台属于网络交易第三方平台，依照《中华人民共和国食品安全法》第一百三十一条规定以及甲公司在外卖平台上作出的承诺，甲公司应对入网食品经营者进行实名登记，并审查其是否取得食品经营许可证，但甲公司未履行上述义务，使王某购买到了无食品经营资质商家制作的食品，合法权益受损，甲公司应与食品经营者承担连带赔偿责任。</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在数字经济背景下，互联网平台应当依法履行主体责任，尤其是涉及消费者身体健康的外卖餐饮平台，更应加强对平台内餐饮服务提供者身份及经营许可资质的审核。本案裁判明确外卖餐饮平台经营者未依法尽到资质审核义务，导致消费者合法权益受损的，应承担连带赔偿责任，确保人民群众的身体健康和生命安全不受非法侵害。</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案例9</w:t>
      </w:r>
      <w:r>
        <w:rPr>
          <w:rFonts w:hint="eastAsia" w:ascii="宋体" w:hAnsi="宋体" w:eastAsia="宋体" w:cs="宋体"/>
          <w:b/>
          <w:bCs/>
          <w:sz w:val="24"/>
          <w:szCs w:val="24"/>
          <w:lang w:eastAsia="zh-CN"/>
        </w:rPr>
        <w:t>：</w:t>
      </w:r>
      <w:r>
        <w:rPr>
          <w:rFonts w:hint="eastAsia" w:ascii="宋体" w:hAnsi="宋体" w:eastAsia="宋体" w:cs="宋体"/>
          <w:b/>
          <w:bCs/>
          <w:sz w:val="24"/>
          <w:szCs w:val="24"/>
        </w:rPr>
        <w:t>在线租车公司未按照承诺足额投保三责险，应在不足范围内对消费者损失承担赔偿责任——杨某与某租车公司车辆租赁合同纠纷案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【基本案情】</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原告杨某通过某租车APP向被告某租车公司承租一辆小型客车，并按约享受“尊享服务”，租期4天。某租车公司为该租车APP的运营者。租车APP中说明：“在您购买尊享服务后，无需承担保险理赔范围内的损失以及保险理赔范围外的轮胎损失。”某租车公司在保险责任中承诺商业第三者责任险保险金额为200000元，但实际仅投保50000元。后杨某驾驶租赁车辆发生交通事故，造成他人财产损失。因商业第三者责任险投保不足，扣除通过保险获赔金额后，杨某被判赔偿案外人428000元。后杨某诉至法院，请求某租车公司支付其事故赔偿428000元等。</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　　审理法院认为，某租车公司承诺投保商业第三者责任险保险金额200000元，尊享服务说明承租人无需承担保险理赔范围内的损失，但本案中杨某发生交通事故后保险公司赔付的商业第三者责任险保险金仅50000元，差额部分150000元属于杨某本可以通过商业保险避免的损失，该损失应由被告承担。依据《中华人民共和国合同法》（1999年施行）第一百零七条规定，判决被告某租车公司赔偿原告杨某150000元。</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网络租车平台是数字化赋能的典型商业模式。实际经营中，存在经营者为规避风险、提高利润，违背向租车人作出的承诺，为出租的汽车投保保险金额较低的商业保险的情况。本案裁判通过认定在线租赁公司承担投保不足导致的赔偿责任，树立正确的价值导向，引导在线租赁公司诚信经营，保障租车消费者的合法权益。</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案例10</w:t>
      </w:r>
      <w:r>
        <w:rPr>
          <w:rFonts w:hint="eastAsia" w:ascii="宋体" w:hAnsi="宋体" w:eastAsia="宋体" w:cs="宋体"/>
          <w:b/>
          <w:bCs/>
          <w:sz w:val="24"/>
          <w:szCs w:val="24"/>
          <w:lang w:eastAsia="zh-CN"/>
        </w:rPr>
        <w:t>：</w:t>
      </w:r>
      <w:r>
        <w:rPr>
          <w:rFonts w:hint="eastAsia" w:ascii="宋体" w:hAnsi="宋体" w:eastAsia="宋体" w:cs="宋体"/>
          <w:b/>
          <w:bCs/>
          <w:sz w:val="24"/>
          <w:szCs w:val="24"/>
        </w:rPr>
        <w:t>“不支持售后维权”的霸王条款无效——张某与吴某网络购物合同纠纷案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【基本案情】</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2020年12月，原告张某在某网络交易平台向吴某购买了某品牌二手女款包，价款14000元，卖家保证为正品，承诺货到付款，如假包退。后张某委托检测机构进行检测，发现该包并非正品，遂将该包寄回给吴某，张某要求退款未果，遂诉至法院要求全额退款。被告吴某陈述，其专业从事奢侈品经营交易，与原告曾进行过多次交易，并辩称交易是货到付款，买家付款表明已认可商品质量，且平台《用户行为规范》明确：“交易成功后，不支持售后维权”，故不同意退货退款。</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【裁判结果】</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审理法院认为，平台《用户行为规范》关于“交易完成，不支持售后维权”的内容，是电子商务经营者为重复使用而预先拟定，在订立合同时未与对方协商的条款，属格式条款。该格式条款不合理地免除了经营者责任，排除了消费者权利，依据《最高人民法院关于审理网络消费纠纷案件适用法律若干问题的规定（一）》第一条之规定，应认定为无效。</w:t>
      </w:r>
    </w:p>
    <w:p>
      <w:pPr>
        <w:numPr>
          <w:ilvl w:val="0"/>
          <w:numId w:val="0"/>
        </w:numPr>
        <w:spacing w:line="500" w:lineRule="exact"/>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【典型意义】</w:t>
      </w:r>
    </w:p>
    <w:p>
      <w:pPr>
        <w:numPr>
          <w:ilvl w:val="0"/>
          <w:numId w:val="0"/>
        </w:numPr>
        <w:spacing w:line="500" w:lineRule="exact"/>
        <w:ind w:firstLine="480" w:firstLineChars="200"/>
        <w:jc w:val="left"/>
        <w:rPr>
          <w:rFonts w:hint="eastAsia" w:ascii="宋体" w:hAnsi="宋体" w:eastAsia="宋体" w:cs="宋体"/>
          <w:b w:val="0"/>
          <w:bCs w:val="0"/>
          <w:sz w:val="24"/>
          <w:szCs w:val="24"/>
        </w:rPr>
      </w:pPr>
      <w:r>
        <w:rPr>
          <w:rFonts w:hint="eastAsia" w:ascii="宋体" w:hAnsi="宋体" w:eastAsia="宋体" w:cs="宋体"/>
          <w:b w:val="0"/>
          <w:bCs w:val="0"/>
          <w:sz w:val="24"/>
          <w:szCs w:val="24"/>
        </w:rPr>
        <w:t>实践中，存在电子商务经营者利用其优势地位，制定不公平不合理的格式条款侵害消费者合法权益的情况。本案裁判通过对网络消费格式条款进行合法性审查，对于不合理地免除经营者责任、排除消费者权利的格式条款作出否定性评价，有力地维护消费者合法权益和健康、清朗消费环境。</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w:t>
      </w:r>
      <w:r>
        <w:rPr>
          <w:rFonts w:hint="eastAsia" w:ascii="微软雅黑" w:hAnsi="微软雅黑" w:eastAsia="微软雅黑" w:cs="微软雅黑"/>
          <w:b/>
          <w:bCs/>
          <w:sz w:val="24"/>
          <w:szCs w:val="24"/>
        </w:rPr>
        <w:t xml:space="preserve">█ </w:t>
      </w:r>
      <w:r>
        <w:rPr>
          <w:rFonts w:hint="eastAsia" w:ascii="宋体" w:hAnsi="宋体" w:eastAsia="宋体" w:cs="宋体"/>
          <w:b/>
          <w:bCs/>
          <w:sz w:val="24"/>
          <w:szCs w:val="24"/>
        </w:rPr>
        <w:t>最高法民一庭相关负责人就老年人权益保护第三批典型案例答记者问</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4月27日上午，最高人民法院在全媒体新闻发布厅发布人民法院第三批老年人权益保护典型案例，相关负责人回答记者提问。</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一、近年来，我国社会人口老龄化程度不断加深。请问人民法院如何通过加强保护老年人权益，增强老年人的幸福感、获得感和安全感？</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答：根据国家统计局公布的数字，截至2022年底，我国60岁及以上人口达到2.8亿人，占全国总人口的19.8%。而随着传统家庭模式、生活方式的变迁，老年人在健康养老、财产处分、情感慰藉等方面的需求也日益增加。如您所言，人口老龄化是我们今后较长一个时期要面临的基本国情。近年来，人民法院通过案件审理、制定司法解释和司法政策、发布典型案例等方式加强老年人合法权益保护，增强全社会积极应对人口老龄化意识，为实现老有所养、老有所医、老有所为、老有所学、老有所乐、老有所安提供司法保障。</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一是加强顶层设计，及时出台司法解释、司法政策文件。</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为贯彻实施好民法典，2020年底，最高人民法院清理后重新编纂《民法典婚姻家庭编司法解释（一）》和《民法典继承编司法解释（一）》，对涉及老年人婚姻家庭、继承纠纷等案件统一法律适用标准，依法保护老年人合法权益。2022年3月，最高人民法院专门发布《为实施积极应对人口老龄化国家战略提供司法服务和保障的意见》，老年人权益保护工作顶层设计不断加强。2022年7月，最高人民法院出台《关于办理人身安全保护令案件适用法律若干问题的规定》，明确对受家暴老年人可以由有关部门代为申请人身安全保护令，加大救济力度。</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二是建立适老型诉讼服务机制，保障老年人便利参与诉讼活动。</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人民法院坚持和发展新时代“枫桥经验”，坚持把非诉讼纠纷解决机制挺在前面，建立完善涉老年人婚姻家庭、侵权等矛盾纠纷的预警、排查、调解机制。采取形式多样的举措，保障老年人便利诉讼。依法准许书写起诉书确有困难的老年人口头起诉，有效给予老年人诉讼服务指导和帮助。为行动不便的老年人开通上门立案、电话立案等“绿色通道”，实现快速、便捷立案。开展网上立案、电子诉讼的同时，保留老年人易于接受的传统司法服务方式。逐步完善无障碍诉讼设施及服务，方便老年人参加诉讼。</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三是注重法、理、情融合，倡导柔性司法，大力弘扬社会主义核心价值观。</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利用司法手段维护老年人合法权益，是人民法院的重要职责使命。2021年以来，最高人民法院连续两年发布两批共15件典型案例，涉及老年人生活的方方面面。其中，赡养、继承类纠纷是老年人权益保护的传统领域，也是老年人关注的重点。人民法院针对老年人需求，加强对赡养尤其是精神赡养类案件的调解力度，保障老年人基本生活需要，让“常回家看看”成为子女的自觉行动；在继承纠纷中，依法保护各类遗嘱形式，切实尊重老年人遗产自主处分权。法定继承中注重扶养、扶助事实，弘扬孝老敬亲、友善互助的传统美德和社会主义核心价值观。</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近年来，不法分子瞄准与老年群体日常消费密切相关的保健养生领域，播放虚假视频，进行夸大或虚假宣传。刚刚闭幕的全国“两会”上，也有很多代表、委员关注老年人在健康养生等方面的新需求。请问人民法院如何打击虚假宣传，维护老年人合法权益？针对目前常见或高发的涉老案件，最高人民法院有哪些风险提示？</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答：确如您所提，随着我国经济的高速发展，人民群众生活水平显著提高，老年人在满足基本生活需求的前提下，开始更关注生活品质，对健康养老等方面的需求增多。近年来，有些不法分子为了迎合老年人养生保健的强烈愿望，对产品功能进行夸大宣传，诱导老年人购买。此次发布的杨某某诉某健康科技有限公司买卖合同纠纷案中，该公司工作人员将仅具有物理退热功能的冷敷贴虚假宣传具有抗衰老、预防疾病功能，诱导老年人购买，法院在认定商家构成欺诈的基础上判决三倍赔偿，坚决打击虚假宣传和消费欺诈行为，维护老年消费群体合法权益。</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根据人民法院近年司法实践情况，并结合这些典型案例所反映的问题，我们也特别就生活中可能遇到的风险向广大老年人作出以下提示：</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一是老年人要增强反诈意识，谨慎处置财产，特别要警惕在养老服务领域中多发的诈骗类违法犯罪。</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一些不法分子常常以老年人关注的养生、养老服务和养老投资等名义，诱骗老年人。而一些老年人因为子女长期不在身边，有一定的情感需求，加之存在“数字鸿沟”之下信息不对称的劣势，在不法分子勾勒的美好愿景面前更易上当。因此，对于不了解的投资领域和不熟悉的服务产业，建议广大老年人还应在与家人充分协商、经正常渠道清楚了解企业信用、人员资质及法律风险等相关资讯后再作出决定。</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二是老年人要增强个人信息保护意识，注意抵御虚假宣传背后的消费风险。</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老年人对医药和保健品的需求较大。有些商家和个人以免费赠送小礼品等作为引诱，通过扫码、加好友、进入聊天群等方式获取老年人个人信息，创造机会接近独居老年人，通过培养情感或以利益、优惠来诱惑老年人进行不理智大额消费。近年来更是利用微商、直播等自媒体途径夸大虚假宣传食品、药品等各类产品的功效。对这样的消费陷阱和宣传攻势，老年朋友更应注意防范。不要轻易将自己和家人的身份证号、住址、工作单位等个人信息告知他人，以免上当受骗。</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三是老年人要提高法律意识，懂得利用法律武器保护自己的合法权益。</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在家庭生活和社会交往中，老年人在人身权利、婚姻自由、财产权利等受到侵害或威胁时，要注意保存证据，并及时与家人、朋友、当地居委会（村委会）、老年人保护组织等取得联系，寻求帮助。权益受到严重侵害的，应当及时向公安机关报警，并可依法向人民法院提起相关诉讼。</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2021年中共中央、国务院发布《关于加强新时代老龄工作的意见》，提出要完善老年人监护制度。随着我国社会老龄化程度加深，失智、失能老年人增多，相关监护问题引起社会广泛关注。请问，这次发布的典型案例是否有所体现？如何利用民法典新规定的“意定监护”制度，有效保障老年人的合法权益？</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答：确如您所言，随着我国老龄化程度加深，如何充分尊重老年人真实意愿、保障失智、失能老年人的合法权益，需要全社会共同面对。鉴于此，我们选取了一个对指定监护人创新监督模式的案例。这个案例中，患有阿尔兹海默症的老人有三名子女，均愿担任老人的监护人，同时认为其他子女在监护方面存在不利因素，担心不能尽责，争执不下。人民法院考虑最便利履行监护职责等情况，判决指定其中一个子女担任监护人，同时，要求其每月定期向其他子女公示财产管理及监护情况，真正让最有利于被监护人原则落地生根。该案中，以监护人履职报告和定期公示为内容的创新模式，让失能老人监护归于“老人本位、家庭成员共同参与”。有利于促进矛盾纾解和孝亲敬老家风建设，对监护人监督模式进行了有益探索。引导监护人自觉履行监护职责，让失智、失能老年人感受到家庭的温暖、社会的友善，让他们活得更有尊严。同时，也为在家庭内部如何对监护人履职情况进行监督提供了切实有效的规则参考和行为指引。</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民法典在老年人权益保障法基础上进一步发展和完善了意定监护制度。这个制度对老年人尤其是担心随着年纪增长、身体机能衰退可能导致失能、失智的老年人非常贴心和友好。满足了老年人“我的监护我做主”的愿望，体现了对人的自由意志和人格尊严的充分尊重。老年人可以在身体尚康健、神志尚清晰时与自己最信任的人提前签订意定监护协议，受委托的可以是其亲属、朋友、同事，还可以是其他愿意担任监护人的组织，通过意定监护制度对自己失能、失智后的生活提前作出安排，解除老年人的后顾之忧。在签订意定监护协议时，可以考虑参照本次发布的典型案例，确定意定监护人的同时，约定由其他人对该监护人进行监督，充分保障老年人得到全面照护。</w:t>
      </w:r>
    </w:p>
    <w:p>
      <w:pPr>
        <w:numPr>
          <w:ilvl w:val="0"/>
          <w:numId w:val="0"/>
        </w:numPr>
        <w:spacing w:line="500" w:lineRule="exact"/>
        <w:jc w:val="left"/>
        <w:rPr>
          <w:rFonts w:hint="eastAsia" w:ascii="宋体" w:hAnsi="宋体" w:eastAsia="宋体" w:cs="宋体"/>
          <w:sz w:val="24"/>
          <w:szCs w:val="24"/>
          <w:lang w:val="en-US" w:eastAsia="zh-CN"/>
        </w:rPr>
      </w:pPr>
    </w:p>
    <w:p>
      <w:pPr>
        <w:spacing w:line="500" w:lineRule="exact"/>
        <w:ind w:firstLine="480" w:firstLineChars="200"/>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█人民法院老年人权益保护第三批典型案例</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案例一：对老年人消费欺诈应承担惩罚性赔偿责任——杨某某诉某健康科技有限公司买卖合同纠纷案</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关键词：消费欺诈、惩罚性赔偿</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杨某某经介绍加入某健康科技有限公司销售微信群，工作人员不断在其中宣传推广一款光量子芯片医用冷敷贴，称系经核准的国家一类医疗器械，能抗衰老、预防疾病等。并以赠送礼物等方式诱导其多次免费体验。杨某某后花费近3万元购买产品，使用后未觉见效。杨某某认为存在消费欺诈，起诉请求判令某健康科技公司退款并三倍赔偿。经查，该产品核准的产品适用范围仅为物理退热理疗等功能。</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审理法院认为，《中华人民共和国消费者权益保护法》第五十五条第一款规定，经营者提供商品或者服务有欺诈行为的，应当按照消费者的要求增加赔偿其受到的损失，增加赔偿的金额为消费者购买商品的价款或者接受服务的费用的三倍；增加赔偿的金额不足五百元的，为五百元。法律另有规定的，依照其规定。本案中，公司人员对医疗器械突出宣传未经国家核准的预期用途和性能，且与说明书适用范围严重不符，误导消费者，致使杨某某以明显畸高的价格购买仅具有冷敷退热功能的医用冷敷贴，构成虚假宣传误导消费者的欺诈行为，应当承担退一赔三的惩罚性赔偿责任。判决该公司退还杨某某全部货款并赔偿三倍损失。</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健康消费是老年人关注的重要领域。现实生活中，一些商家利用老年人对健康的重视，通过夸大产品的保健治疗功能诱导老年人进行消费。近年来，随着智能手机的普及，通过微信群等媒介虚假宣传，形式更加隐蔽化，需要引起高度重视。本案判决明确了在微信群对医疗器械、药品等功效进行虚假宣传误导老年消费者，构成欺诈，应承担惩罚性赔偿责任。本案对于引导经营者诚信经营，维护老年消费者的健康权益具有典型示范作用。</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案例二：对失能老年人监护加强监督保障其得到最有利监护——赵甲、赵乙、赵丙申请指定监护人纠纷案</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关键词：监护监督、最有利于被监护人</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老人严某某有赵甲、赵乙、赵丙三子女，老人自丈夫去世至患病住院前一直与赵甲共居生活。住院期间三子女均有看护，存折及证件由赵甲管理。老人现无民事行为能力。三子女就老人监护事宜存在争议，起诉申请由法院指定监护人，均主张他人存在不利监护因素，自己最适于担任老人监护人。</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审理法院认为，《中华人民共和国民法典》第三十一条规定，人民法院应当尊重被监护人的真实意愿，按照最有利于被监护人的原则在依法具有监护资格的人中指定监护人。本案中，赵甲与老人长期共同生活，为最便利履行监护职责，结合照顾现状、交通条件等情况，判决指定赵甲担任严某某监护人，令其每月向赵乙、赵丙公示上一月度严某某财产管理及监护情况。</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随着我国社会人口老龄化程度不断加深，失能老人生活照顾、财产管理等成为困扰许多家庭的难题。被指定的监护人能否尽心尽力、依法履职，由谁来履行监督职能，更是实践操作的堵点。本案判决按照最有利于被监护人的原则，确定以监护人履职报告和定期公示为内容的创新模式，让失能老人监护归于“老人本位、家庭成员共同参与”。不仅有利于促进矛盾纾解和孝亲敬老家风建设，也对监护人监督模式进行了有益探索。</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案例三：投保老年人健康保险已履行告知义务应依法获赔——李某诉某保险公司健康保险合同纠纷案</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关键词：老年健康保险、告知义务范围</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2020年9月，李某与某保险公司签订《支付宝老年防癌险电子保险单》，投保老年防癌险。保险单健康告知部分需要告知的疾病、体征或症状不包括慢性支气管炎。半年后李某经诊断为气管肿瘤癌变，向该保险公司提出索赔申请。该保险公司以李某患慢性支气管炎投保时未告知而严重影响其承保决定为由拒赔。李某起诉请求判令该公司履行保险合同，赔付医疗费用。</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审理法院认为，《中华人民共和国保险法》第十六条第一款、第二款规定，订立保险合同，保险人就保险标的或者被保险人的有关情况提出询问的，投保人应当如实告知。投保人故意或者因重大过失未履行前款规定的如实告知义务，足以影响保险人决定是否同意承保或者提高保险费率的，保险人有权解除合同。本案中，保险公司在保险单需要告知的部分并未询问被保险人是否患有慢性支气管炎。李某在投保时已合理履行如实告知义务，保险公司无权解除该保险合同。李某被诊断为肿瘤癌变，依据癌症医疗保险条款，判决某保险公司继续履行保险合同，支付李某医疗费16万余元。</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健康保险是老年人安度晚年的重要保障。目前，针对老年人的保险投保门槛较低，而老年人因为年龄等原因，可能存在一些基础病情况，存在纠纷隐患。本案判决明确投保老年人健康保险时，已根据保险公司询问事项履行如实告知义务。在保险公司询问之外的事项，不属于告知范围。判决有力维护了患重大疾病老年人的合法权益，保障老有所安，同时，也提示保险公司开展此项业务的相关风险，具有一定的典型意义。</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案例四：未按约定提供养老养生服务应依法承担违约责任——吴某诉某养老产业发展有限公司养老服务合同纠纷案</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关键词：养老服务、养老产业</w:t>
      </w:r>
    </w:p>
    <w:p>
      <w:pPr>
        <w:numPr>
          <w:ilvl w:val="0"/>
          <w:numId w:val="0"/>
        </w:numPr>
        <w:spacing w:line="500" w:lineRule="exact"/>
        <w:ind w:firstLine="482" w:firstLineChars="200"/>
        <w:jc w:val="left"/>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某养老产业发展有限公司是一家为老年人、残疾人提供养护服务的酒店。2019年，吴某同该公司签订养生养老合同，约定吴某支付预订金后，即获得会员资格和相应积分，积分可以在该公司旗下任何酒店抵现使用。预付的订金如果没有额外消费，期满后还可退还。吴某支付21万元预订金后，该公司无法提供相应服务且不退款。吴某起诉请求解除合同，并判令该公司返还预订金及利息。</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审理法院认为，《中华人民共和国民法典》第五百六十三条规定，当事人一方迟延履行债务或者有其他违约行为致使不能实现合同目的的，当事人可以解除合同。民事主体从事民事活动应当遵循诚信原则，秉持诚实，恪守承诺。本案中，双方签订的养生养老合同合法有效，某养老产业发展有限公司收到吴某定金后无法提供相应服务，存在根本违约，吴某享有合同解除权。判决某养老产业发展有限公司返还吴某预订金，并支付利息。法院亦将该公司涉嫌养老诈骗犯罪线索移送公安机关。</w:t>
      </w:r>
    </w:p>
    <w:p>
      <w:pPr>
        <w:numPr>
          <w:ilvl w:val="0"/>
          <w:numId w:val="0"/>
        </w:numPr>
        <w:spacing w:line="500" w:lineRule="exact"/>
        <w:ind w:firstLine="482" w:firstLineChars="200"/>
        <w:jc w:val="left"/>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随着人们生活水平的提高，老年人越来越注重生活品质。部分企业关注到养生养老服务的商机，以提供疗养服务、支付预订金获得会员资格和积分消费等名义吸引老年人签订养老合同，进行大额充值消费。司法既保护相关新兴产业的发展，引导其合法规范经营，又依法制裁其中违法犯罪行为，保护老年人财产权益，守护老年人生活安宁。本案在民事审判中依法认定养老服务机构根本违约的同时，将涉嫌犯罪线索及时依法移送公安机关，对遏制针对老年人养老消费领域的恶意诱导，打击针对老年人的侵财违法犯罪行为、净化养老产业，具有一定的示范意义。</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案例五：子女处分老年人购买并长期居住的房屋应尊重其意愿——吕某诉戴某排除妨害纠纷案</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关键词：权利滥用、安土重迁</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戴某（85岁）系吕某之母。案涉房屋系吕某父亲生前依单位保障家庭用房政策出资购买，戴某一直居住在该房屋内。吕父去世后戴某同意房屋登记于吕某名下。在工作日期间，吕某夫妇为接送孙辈上下学与戴某共同居住。吕某为生活便利欲置换房屋，承诺保障戴某居住需求。戴某认为自己已在该处居住半生，邻里熟悉，就医便利，希望能在此终老。即使新居面积更大、条件更优，亦不愿搬离旧宅。因协商未果，吕某以房屋所有权人身份起诉请求判令戴某不得妨害其置换房屋行为。</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审理法院认为，《中华人民共和国民法典》第一百三十二条规定，民事主体不得滥用民事权利损害国家利益、社会公共利益或者他人合法权益。戴某虽放弃登记为所有权人，但对该房屋仍有正常居住的权益。吕某欲置换房屋以提高居住品质，但戴某已至耄耋之年，有在此颐养天年直至终老的意愿，吕某轻视戴某意愿而欲售房置换不当。判决驳回吕某的诉讼请求。</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中华民族素有安土重迁、落叶归根的传统。本案判决没有机械按照物权变动规则支持登记权利人的主张，而是全面考虑房屋来源和现实情况，充分尊重耄耋老人对旧有居所数十载的多重情愫和美好回忆，及老人对自身社交、就医养老处所的现实考虑，明确家庭成员要尊重老年人意愿，不应滥用民事权利排除老年人居住权益，不得违背公序良俗。本案判决对于如何细化老年人居住权益保障，真正实现老有所居、老有所安，切实维护老年人权益，具有一定的指导意义。</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案例六：分配遗产时应依法保护被继承人老年配偶权益——孙丙诉袁某、孙乙继承纠纷案</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关键词：分配遗产、保护老年配偶</w:t>
      </w:r>
    </w:p>
    <w:p>
      <w:pPr>
        <w:numPr>
          <w:ilvl w:val="0"/>
          <w:numId w:val="1"/>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基本案情</w:t>
      </w:r>
    </w:p>
    <w:p>
      <w:pPr>
        <w:numPr>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老人袁某与孙甲有婚生子孙乙、养女孙丙。二人有房产、存款若干。2005年孙甲患病不能自理，住院15年至去世均由袁某照顾护理。孙乙因犯罪长期服刑。孙丙大学毕业到外埠工作定居。老人住院期间仅探望几次。孙甲去世尚未安葬时，孙丙即起诉要求分配遗产。</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审理法院认为，原《中华人民共和国继承法》第十三条规定，同一顺序继承人继承遗产的份额，一般应当均等。对被继承人尽了主要扶养义务或者与被继承人共同生活的继承人，分配遗产时，可以多分。有扶养能力和有扶养条件的继承人，不尽扶养义务的，分配遗产时，应当不分或者少分。本案中，孙甲未留遗嘱，应当按照法定继承顺序继承，第一顺位继承人为袁某、孙乙、孙丙。袁某年过七十，存款甚少，与孙丙关系无法缓和，孙乙七年后才能出狱，袁某面临老无所依的状况。判决孙甲遗产中的房产、银行存款、抚恤金等均归袁某所有，并分别给付孙乙、孙丙少部分折价款。</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家庭是组成社会的最基本单元，子女赡养、夫妻扶助，是老年人步入晚年后最常见的养老方式。家庭成员应当尊重、关心和照料老年人，成年子女更是负有赡养父母的法定义务。子女与配偶虽同为第一顺位法定继承人，但在依照法定继承分配遗产时，对被继承人尽了主要扶养义务或者与被继承人共同生活的继承人，可以多分；而对有扶养能力和有扶养条件的继承人，不尽扶养义务的，应当不分或少分。本案二审考虑了各继承人履行义务的情况，并特别注意保护被继承人老年配偶的合法权益，以确保老年人老有所居、老有所养。</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案例七：子女应当尊重老年人选择的合理养老方式——苏甲诉苏乙等赡养纠纷案</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关键词：养老方式、精神赡养</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苏甲与代某夫妻育有苏乙等六名子女。代某去世多年，苏甲现已94岁高龄，无住房，视力残疾，平时出行不便，需要看护。在长子家中生活十年，家庭矛盾较深，其他子女均无照顾意愿。苏甲要求入住养老院，因每月需缴纳费用等与子女发生争议，苏甲起诉请求判令六子女支付赡养费，并每月探望一次。</w:t>
      </w:r>
    </w:p>
    <w:p>
      <w:pPr>
        <w:numPr>
          <w:ilvl w:val="0"/>
          <w:numId w:val="0"/>
        </w:numPr>
        <w:spacing w:line="500" w:lineRule="exact"/>
        <w:ind w:firstLine="482" w:firstLineChars="200"/>
        <w:jc w:val="left"/>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审理法院认为，《中华人民共和国民法典》第二十六条规定，成年子女对父母负有赡养、扶助和保护的义务。《中华人民共和国老年人权益保障法》第十八条规定，家庭成员应当关心老年人的精神需求，不得忽视、冷落老年人。与老年人分开居住的家庭成员，应当经常看望或者问候老年人。苏甲将子女抚养长大。六子女依法应履行赡养义务，包括对老人精神慰藉。苏甲基于家庭现实情况，要求到养老机构生活，应当尊重其意愿。综合考量苏甲实际需要、各子女经济条件和负担能力及当地生活水平等因素，判决六子女每人每月给付苏甲赡养费500元。六子女对苏甲除履行经济上供养、生活上照料的义务外，还应履行精神上慰藉的义务，每人每月应当看望及电话问候苏甲一次。</w:t>
      </w:r>
    </w:p>
    <w:p>
      <w:pPr>
        <w:numPr>
          <w:ilvl w:val="0"/>
          <w:numId w:val="0"/>
        </w:numPr>
        <w:spacing w:line="500" w:lineRule="exact"/>
        <w:ind w:firstLine="482" w:firstLineChars="200"/>
        <w:jc w:val="left"/>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现实生活中，有些老年人基于家庭现实情况考虑，选择在养老机构安度晚年。应当依法保障老年人对于养老方式多样化的诉求及其自主选择养老方式的权利。此外，子女不仅应履行经济上供养的义务，还应重视对老年人的精神慰藉。本案判决体现了对老年人在养老方式等问题上自主意愿的尊重，和对于精神赡养的倡导，充分保障老有所依。</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案例八：子女不得干涉老年人自主处分个人财产——任某诉李某合同纠纷案</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关键词：保管、财产处分权</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一、基本案情</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任某系李某之母。2022年2月，双方签订协议，约定任某将其存款存入李某账户，该款仅用于任某养老；任某生养死葬由李某负责。协议签订后，任某将13万元存款转入李某账户。李某从该存款中为任某支付医疗费800余元。后任某提出从该存款中支取3000元用于生活，被李某拒绝。任某遂起诉请求判决解除双方协议，并由李某立即返还剩余款项。</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二、裁判结果</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审理法院认为，《中华人民共和国民法典》第一百三十条规定，民事主体按照自己的意愿依法行使民事权利，不受干涉。老年人对个人财产依法享有占有、使用、收益和处分的权利，子女不得干涉，不得侵犯老年人财产权益。任某将其剩余存款交由李某保管并安排供其养老使用，双方形成保管合同关系。李某不履行相应义务，干涉任某对个人财产的自主处分，损害了任某的权利，任某有权要求李某向其返还所保管的剩余款项。判决解除协议并判令李某返还任某剩余款项。</w:t>
      </w:r>
    </w:p>
    <w:p>
      <w:pPr>
        <w:numPr>
          <w:ilvl w:val="0"/>
          <w:numId w:val="0"/>
        </w:numPr>
        <w:spacing w:line="500" w:lineRule="exact"/>
        <w:ind w:firstLine="482" w:firstLineChars="200"/>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三、典型意义</w:t>
      </w:r>
    </w:p>
    <w:p>
      <w:pPr>
        <w:numPr>
          <w:ilvl w:val="0"/>
          <w:numId w:val="0"/>
        </w:numPr>
        <w:spacing w:line="500" w:lineRule="exact"/>
        <w:ind w:firstLine="480" w:firstLineChars="200"/>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老年人对个人财产依法享有占有、使用、收益和处分的权利，子女不得侵犯老年人财产权益。近年来，子女以“为父母好”为由监管掌控父母财产的情况时有出现。老年人经济上的不自由，影响了老年人生活的便利程度及幸福感。本案就老年人对自身财产享有的合法权益予以保护，明确了子女不得以任何形式违法干涉老年人对个人财产处分的规则导向。</w:t>
      </w:r>
    </w:p>
    <w:p>
      <w:pPr>
        <w:spacing w:line="500" w:lineRule="exact"/>
        <w:ind w:firstLine="480" w:firstLineChars="200"/>
        <w:rPr>
          <w:rFonts w:hint="eastAsia" w:ascii="微软雅黑" w:hAnsi="微软雅黑" w:eastAsia="微软雅黑" w:cs="微软雅黑"/>
          <w:b w:val="0"/>
          <w:bCs w:val="0"/>
          <w:sz w:val="24"/>
          <w:szCs w:val="24"/>
        </w:rPr>
      </w:pPr>
    </w:p>
    <w:p>
      <w:pPr>
        <w:spacing w:line="500" w:lineRule="exact"/>
        <w:jc w:val="left"/>
        <w:rPr>
          <w:rFonts w:hint="eastAsia" w:ascii="黑体" w:hAnsi="黑体" w:eastAsia="黑体" w:cs="黑体"/>
          <w:b/>
          <w:bCs/>
          <w:color w:val="FFFFFF"/>
          <w:spacing w:val="20"/>
          <w:sz w:val="28"/>
          <w:szCs w:val="28"/>
          <w:highlight w:val="blue"/>
          <w:lang w:val="en-US" w:eastAsia="zh-CN"/>
        </w:rPr>
      </w:pPr>
      <w:r>
        <w:rPr>
          <w:rFonts w:hint="eastAsia" w:ascii="黑体" w:hAnsi="黑体" w:eastAsia="黑体" w:cs="黑体"/>
          <w:b/>
          <w:bCs/>
          <w:color w:val="FFFFFF"/>
          <w:spacing w:val="20"/>
          <w:sz w:val="28"/>
          <w:szCs w:val="28"/>
          <w:highlight w:val="blue"/>
          <w:lang w:val="en-US" w:eastAsia="zh-CN"/>
        </w:rPr>
        <w:t>典型案例</w:t>
      </w:r>
    </w:p>
    <w:p>
      <w:pPr>
        <w:spacing w:line="500" w:lineRule="exact"/>
        <w:ind w:firstLine="482" w:firstLineChars="200"/>
        <w:jc w:val="center"/>
        <w:rPr>
          <w:rFonts w:hint="eastAsia" w:ascii="宋体" w:hAnsi="宋体" w:eastAsia="宋体" w:cs="宋体"/>
          <w:b/>
          <w:sz w:val="24"/>
          <w:szCs w:val="24"/>
        </w:rPr>
      </w:pPr>
      <w:r>
        <w:rPr>
          <w:rFonts w:hint="eastAsia" w:ascii="宋体" w:hAnsi="宋体" w:eastAsia="宋体" w:cs="宋体"/>
          <w:b/>
          <w:sz w:val="24"/>
          <w:szCs w:val="24"/>
        </w:rPr>
        <w:t>无证驾驶他人未过户车辆致人损害的保险追偿对象</w:t>
      </w:r>
    </w:p>
    <w:p>
      <w:pPr>
        <w:spacing w:line="500" w:lineRule="exact"/>
        <w:ind w:firstLine="482" w:firstLineChars="200"/>
        <w:jc w:val="center"/>
        <w:rPr>
          <w:rFonts w:hint="eastAsia" w:ascii="宋体" w:hAnsi="宋体" w:eastAsia="宋体" w:cs="宋体"/>
          <w:b/>
          <w:sz w:val="24"/>
          <w:szCs w:val="24"/>
        </w:rPr>
      </w:pPr>
    </w:p>
    <w:p>
      <w:pPr>
        <w:spacing w:line="500" w:lineRule="exact"/>
        <w:rPr>
          <w:rFonts w:hint="default" w:ascii="宋体" w:hAnsi="宋体" w:eastAsia="宋体" w:cs="宋体"/>
          <w:b/>
          <w:bCs/>
          <w:sz w:val="24"/>
          <w:szCs w:val="24"/>
          <w:lang w:val="en-US" w:eastAsia="zh-CN"/>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基本案情】</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原告：中国平安财产保险股份有限公司乌兰察布中心支公司（以下简称平安保险公司）。</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被告：郭建光、郭秀花。</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法院经审理查明</w:t>
      </w:r>
      <w:r>
        <w:rPr>
          <w:rFonts w:hint="eastAsia" w:ascii="宋体" w:hAnsi="宋体" w:eastAsia="宋体" w:cs="宋体"/>
          <w:sz w:val="24"/>
          <w:szCs w:val="24"/>
          <w:lang w:val="en-US" w:eastAsia="zh-CN"/>
        </w:rPr>
        <w:t>事实</w:t>
      </w:r>
      <w:r>
        <w:rPr>
          <w:rFonts w:hint="eastAsia" w:ascii="宋体" w:hAnsi="宋体" w:eastAsia="宋体" w:cs="宋体"/>
          <w:sz w:val="24"/>
          <w:szCs w:val="24"/>
        </w:rPr>
        <w:t>：2020年11月3日14：41许，未取得驾驶资格的被告郭建光驾驶奥迪小轿车沿内蒙古自治区察右后旗白音察干镇北地桥街由西向东行驶至尔登达花移民区西侧交叉路口处，与由东向西左转弯的案外人刘国亮驾驶的电动三轮车发生碰撞，电动三轮车驾驶人刘国亮、乘车人武登科受伤，双方车辆受损。经乌兰察布市公安局交通管理支队察右后旗交警大队作出的道路交通事故认定书认定，被告郭建光承担此事故的主要责任，案外人刘国亮承担此事故的次要责任，乘车人武登科无此事故责任。肇事车辆在原告处投保了机动车交通事故责任强制保险，事故发生于保险期间内。2021年8月6日，内蒙古自治区察哈尔右翼后旗人民法院作出（2021）内0928民初400号民事判决书，判决原告平安保险公司赔偿受害人武登科各项经济损失共计33995.10元。宣判后，双方当事人均未在上诉期间提起上诉。8月17日，平安保险公司将赔偿款33995.10元打入法院账户。</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另查明，肇事车辆系案外人冯娟通过按揭贷款方式向被告郭秀花购买的，按揭贷款在车辆肇事时尚未付清。该车辆已交付案外人冯娟管理、使用，未办理过户登记手续，其第三者责任强制保险的投保人、被保险人系案外人冯娟，车辆的登记所有人为郭秀花。郭秀花系郭建光的姐姐，案外人冯娟系郭建光的妻子。</w:t>
      </w:r>
    </w:p>
    <w:p>
      <w:pPr>
        <w:spacing w:line="5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平安保险公司向法院提起诉讼。原告认为，郭建光作为直接侵权人，应当支付原告所垫付的赔偿金；郭秀花作为车辆的实际所有人对车辆管理不当，应当承担连带责任。请求人民法院判决二被告连带返还原告交强险垫付的赔偿金33995.10元。被告郭建光、郭秀花未作答辩。</w:t>
      </w:r>
      <w:r>
        <w:rPr>
          <w:rFonts w:hint="eastAsia" w:ascii="宋体" w:hAnsi="宋体" w:eastAsia="宋体" w:cs="宋体"/>
          <w:sz w:val="24"/>
          <w:szCs w:val="24"/>
          <w:lang w:val="en-US" w:eastAsia="zh-CN"/>
        </w:rPr>
        <w:t xml:space="preserve"> </w:t>
      </w:r>
    </w:p>
    <w:p>
      <w:pPr>
        <w:spacing w:line="500" w:lineRule="exact"/>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【裁判结果】</w:t>
      </w:r>
    </w:p>
    <w:p>
      <w:pPr>
        <w:spacing w:line="50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一审法院经审理，判决被告郭建光支付原告赔偿金33995.10元，驳回原告的其他诉讼请求。一审宣判后，原、被告均未提起上诉，该判决已发生法律效力。</w:t>
      </w:r>
    </w:p>
    <w:p>
      <w:pPr>
        <w:spacing w:line="500" w:lineRule="exact"/>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【评析】</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该案在审理过程中，对于原告平安保险公司赔偿另案武登科各项经济损失33995.10元后，可以在赔偿范围内主张追偿权没有任何争议。但是，关于原告平安保险公司应该向谁主张追偿权，却存在三种不同意见。</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第一种意见认为，应当向被告郭建光、郭秀花主张追偿权，由被告郭建光支付原告所垫付的赔偿金，由被告郭秀花承担连带清偿责任。理由是，被告郭建光作为直接侵权人，应当支付原告所垫付的赔偿金；被告郭秀花作为车辆的登记所有人对车辆管理不当，应当承担连带责任。第二种意见认为，应当追加案外人冯娟为被告，由被告郭建光支付原告所垫付的赔偿金，由案外人冯娟承担连带清偿责任。理由是，被告郭建光未取得驾驶资格驾驶机动车致人损害，存在严重违法行为；案外人冯娟系肇事车辆的实际所有人及投保人、被保险人，其将肇事车辆交给未取得驾驶资格的被告郭建光驾驶，存在重大过错。第三种意见认为，应当向被告郭建光主张追偿权，由被告郭建光单独支付原告所垫付的赔偿金。理由是，被告郭建光不仅没有取得驾驶资格，而且系乘车人武登科遭受人身损害的侵权人；被告郭秀花及案外人冯娟并非乘车人武登科遭受人身损害的侵权人，且二者对乘车人武登科遭受的人身损害均没有过错。笔者认为，关于保险人在交强险责任限额范围内赔偿受害人后的追偿对象，不能一概而论，而应当根据案件的具体情况加以分析、认定。</w:t>
      </w:r>
    </w:p>
    <w:p>
      <w:pPr>
        <w:spacing w:line="50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val="en-US" w:eastAsia="zh-CN"/>
        </w:rPr>
        <w:t>一、</w:t>
      </w:r>
      <w:r>
        <w:rPr>
          <w:rFonts w:hint="eastAsia" w:ascii="宋体" w:hAnsi="宋体" w:eastAsia="宋体" w:cs="宋体"/>
          <w:b/>
          <w:bCs/>
          <w:sz w:val="24"/>
          <w:szCs w:val="24"/>
        </w:rPr>
        <w:t>关于保险人追偿对象相关规定的适用</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关于保险人在交强险责任限额范围内赔偿受害人后的追偿对象，现行法律、法规及司法解释均作出了相应规定。《机动车交通事故责任强制保险条例》（以下简称《保险条例》）第二十二条第一款规定："有下列情形之一的，保险公司在机动车交通事故责任强制保险责任限额范围内垫付抢救费用，并有权向致害人追偿：（一）驾驶人未取得驾驶资格或者醉酒的；（二）被保险机动车被盗抢期间肇事的；（三）被保险人故意制造道路交通事故的。”最高人民法院《关于审理道路交通事故损害赔偿案件适用法律若干问题的解释》（以下简称《道交事故解释》）第15条规定："有下列情形之一导致第三人人身损害，当事人请求保险公司在交强险责任限额范围内予以赔偿，人民法院应予支持：（一）驾驶人未取得驾驶资格或者未取得相应驾驶资格的；（二）醉酒、服用国家管制的精神药品或者麻醉药品后驾驶机动车发生交通事故的；（三）驾驶人故意制造交通事故的。保险公司在赔偿范围内向侵权人主张追偿权的，人民法院应予支持。”民法典第一千二百一十五条规定："盗窃、抢劫或者抢夺的机动车发生交通事故造成损害的，由盗窃人、抢劫人或者抢夺人承担赔偿责任。盗窃人、抢劫人或者抢夺人与机动车使用人不是同一人，发生交通事故造成损害，属于该机动车一方责任的，由盗窃人、抢劫人或者抢夺人与机动车使用人承担连带责任。保险人在机动车强制保险责任限额范围内垫付抢救费用的，有权向交通事故责任人追偿。”</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从上述法律、法规及司法解释的规定可以看出，《保险条例》第二十二条第一款规定的保险人追偿对象为致害人，《道交事故解释》第15条规定的保险人追偿对象为侵权人，民法典第一千二百一十五条规定的保险人追偿对象为交通事故责任人。《保险条例》系国务院公布的自2006年7月1 日起施行的行政法规，《道交事故解释》系最高法院制定的自2012年12月21日起施行的司法解释，民法典系全国人民代表大会通过的自2021年1月1日起施行的基本法。根据上位法优于下位法、新法优于旧法、特别法优于一般法的法律适用原则，关于保险人的追偿对象应当优先适用民法典第一千二百一十五条的规定，其次适用《道交事故解释》第15条的规定，最后适用《保险条例》第二十二条第一款的规定。只有超出民法典第一千二百一十五条规定的适用范围，才能适用《道交事故解释》第15条的规定；只有超出《道交事故解释》第15条规定的适用范围，才能适用《保险条例》第二十二条第一款的规定。民法典虽然系上位法、新法，但其第一千二百一十五条系专门针对盗窃、抢劫或者抢夺的机动车发生交通事故造成损害的赔偿责任及保险人的追偿对象作出的规定，该条对盗窃、抢劫或者抢夺机动车以外的无证、醉酒、毒驾及故意制造交通事故等情形导致第三人人身损害的赔偿责任及保险人的追偿对象没有作出规定。因此，对于盗窃、抢劫或者抢夺的机动车以外的无证、醉酒、毒驾及故意制造交通事故等情形导致第三人人身损害的保险人追偿对象，应当适用《道交事故解释》第15条的规定，即保险人的追偿对象为侵权人。事实上，《道交事故解释》第15条已将《保险条例》第二十二条第一款规定的内容进行了修改和完善，《保险条例》第二十二条第一款已失去了应有的效力。</w:t>
      </w:r>
    </w:p>
    <w:p>
      <w:pPr>
        <w:spacing w:line="50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二、侵权人内含与外延的分析</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侵权责任法关于侵权法律关系的主体表述为侵权人、被侵权人，没有致害人这一主体。侵权责任法之所以保留受害人这一表述，是因为这些人虽然遭受了损害，但并非是由于行为人的侵权行为所致，在特殊侵权责任中存在替代责任的情况。侵权责任法之所以没有沿用《保险条例》第二十二条第一款规定的致害人这一表述，是因为致害人仅仅体现的是侵权行为，而没有从侵权行为和侵权责任两个方面加以考量。侵权责任法将侵权主体表述为侵权人，将实施侵权行为的人和承担侵权责任的人有机地结合在一起，更为合理、恰当。虽然侵权责任法已被废止，但是民法典关于侵权法律关系的主体仍然沿用了侵权责任法的表述，即侵权人和被侵权人。从侵权法律关系主体的相关表述来分析，侵权人对应的是被侵权人，致害人对应的是受害人。 侵权人的范围要大于或等于致害人，包括致害人和其他承担侵权责任的人；受害人的范围要大于或等于被侵权人，包括被侵权人和其他因犯罪等行为遭受损害的人。</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保险条例》第二十二条第一款规定的保险人追偿对象致害人及民法典第一千二百一十五条规定的保险人追偿对象交通事故责任人均属于侵权人范畴。笔者认为，《保险条例》第二十二条第一款规定的保险人追偿对象致害人为直接侵权人，《道交事故解释》第15条规定的保险人追偿对象侵权人包括直接侵权人、间接侵权人和责任替代人，民法典第一千二百一十五条规定的保险人追偿对象交通事故责任人包括机动车盗窃人、抢劫人、抢夺人和使用人。在机动车所有人、管理人与使用人因机动车被盗窃、抢劫或者抢夺而分离后发生交通事故造成损害的，如果盗窃人、抢劫人或者抢夺人与机动车使用人是同一人，则保险人的追偿对象为机动车的盗窃人、抢劫人或者抢夺人；如果盗窃人、抢劫人或者抢夺人与机动车使用人不是同一人，则保险人的追偿对象为机动车的盗窃人、抢劫人、抢夺人与使用人。在机动车所有人、管理人与驾驶人非因机动车被盗窃、抢劫、抢夺而分离时，如果驾驶人是在执行职务过程中导致第三人人身损害的，则保险人的追偿对象为驾驶人的用人单位；如果机动车所有人、管理人对于驾驶人存在《道交事故解释》第15条规定的违法驾驶行为知道或者应当知道的，机动车所有人、管理人应当与驾驶人一并作为保险人的追偿对象。</w:t>
      </w:r>
    </w:p>
    <w:p>
      <w:pPr>
        <w:spacing w:line="50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三、本案保险人追偿对象的认定</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首先应当从特殊侵权责任的责任替代人方面加以考量，然后依次从间接侵权人和直接侵权人方面进行分析。如果在侵权法律关系的侵权人主体方面，不存在特殊侵权责任的责任替代人，则应当从间接侵权人方面加以考量；如果没有间接侵权人，则应当从直接侵权人方面进行分析。在认定间接侵权人是否为保险人追偿对象时，一定要分析间接侵权人系单独间接侵权人还是共同间接侵权人，间接侵权人有无过错、过错大小，是否知道或者应当知道直接侵权人的违法侵权行为；在认定直接侵权人时，还要分析直接侵权人系单独直接侵权人还是共同直接侵权人，共同直接侵权人各自的过错程度、责任大小。</w:t>
      </w:r>
    </w:p>
    <w:p>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就本案而言，案涉机动车交通事故责任纠纷并非特殊侵权责任类型，不存在责任替代人，因此，关于保险人的追偿对象，要从间接侵权人和直接侵权人方面加以分析、认定。本案中，虽然被告郭秀花系肇事车辆的登记所有人，但由于其对案涉车辆的运行无支配、监管和控制权，且不是该车辆运行利益的归属者，其对武登科遭受的人身损害不存在过错，并非该起交通事故的间接侵权人，故不应当将其认定为保险人的追偿对象。虽然肇事车辆系案外人冯娟通过按揭贷款方式向被告郭秀花购买的未过户车辆，但由于该车辆第三者责任强制保险的投保人、被保险人均为案外人冯娟，难以认定案外人冯娟对被告郭建光未取得驾驶资格的驾驶行为知道或者应当知道，也无法确定其对被告郭建光驾驶肇事车辆致武登科受伤存在过错，且平安保险公司未将案外人冯娟作为被告提起诉讼，故本案不应当追加案外人冯娟为被告参加诉讼。由于被告郭建光系未取得驾驶资格驾驶肇事车辆致武登科受伤的直接侵权人，其对本起交通事故的发生存在过错并负事故主要责任，故平安保险公司应当向被告郭建光主张追偿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405" w:lineRule="atLeast"/>
        <w:ind w:left="0" w:right="150" w:firstLine="0"/>
        <w:jc w:val="left"/>
        <w:rPr>
          <w:rFonts w:hint="eastAsia" w:ascii="宋体" w:hAnsi="宋体" w:eastAsia="宋体" w:cs="宋体"/>
          <w:i/>
          <w:iCs/>
          <w:sz w:val="24"/>
          <w:szCs w:val="24"/>
          <w:lang w:eastAsia="zh-CN"/>
        </w:rPr>
      </w:pPr>
      <w:r>
        <w:rPr>
          <w:rFonts w:hint="eastAsia" w:cs="宋体"/>
          <w:sz w:val="24"/>
          <w:szCs w:val="24"/>
          <w:lang w:val="en-US" w:eastAsia="zh-CN"/>
        </w:rPr>
        <w:t xml:space="preserve">   </w:t>
      </w:r>
      <w:r>
        <w:rPr>
          <w:rFonts w:hint="eastAsia" w:ascii="宋体" w:hAnsi="宋体" w:eastAsia="宋体" w:cs="宋体"/>
          <w:i/>
          <w:iCs/>
          <w:sz w:val="24"/>
          <w:szCs w:val="24"/>
        </w:rPr>
        <w:t>本文来源：</w:t>
      </w:r>
      <w:r>
        <w:rPr>
          <w:rFonts w:hint="eastAsia" w:ascii="宋体" w:hAnsi="宋体" w:eastAsia="宋体" w:cs="宋体"/>
          <w:i/>
          <w:iCs/>
          <w:sz w:val="24"/>
          <w:szCs w:val="24"/>
          <w:lang w:eastAsia="zh-CN"/>
        </w:rPr>
        <w:t>（《</w:t>
      </w:r>
      <w:r>
        <w:rPr>
          <w:rFonts w:hint="eastAsia" w:ascii="宋体" w:hAnsi="宋体" w:eastAsia="宋体" w:cs="宋体"/>
          <w:i/>
          <w:iCs/>
          <w:sz w:val="24"/>
          <w:szCs w:val="24"/>
          <w:lang w:val="en-US" w:eastAsia="zh-CN"/>
        </w:rPr>
        <w:t>人民司法》20</w:t>
      </w:r>
      <w:r>
        <w:rPr>
          <w:rFonts w:hint="eastAsia" w:cs="宋体"/>
          <w:i/>
          <w:iCs/>
          <w:sz w:val="24"/>
          <w:szCs w:val="24"/>
          <w:lang w:val="en-US" w:eastAsia="zh-CN"/>
        </w:rPr>
        <w:t>22</w:t>
      </w:r>
      <w:r>
        <w:rPr>
          <w:rFonts w:hint="eastAsia" w:ascii="宋体" w:hAnsi="宋体" w:eastAsia="宋体" w:cs="宋体"/>
          <w:i/>
          <w:iCs/>
          <w:sz w:val="24"/>
          <w:szCs w:val="24"/>
          <w:lang w:val="en-US" w:eastAsia="zh-CN"/>
        </w:rPr>
        <w:t>年</w:t>
      </w:r>
      <w:r>
        <w:rPr>
          <w:rFonts w:hint="eastAsia" w:cs="宋体"/>
          <w:i/>
          <w:iCs/>
          <w:sz w:val="24"/>
          <w:szCs w:val="24"/>
          <w:lang w:val="en-US" w:eastAsia="zh-CN"/>
        </w:rPr>
        <w:t>26</w:t>
      </w:r>
      <w:r>
        <w:rPr>
          <w:rFonts w:hint="eastAsia" w:ascii="宋体" w:hAnsi="宋体" w:eastAsia="宋体" w:cs="宋体"/>
          <w:i/>
          <w:iCs/>
          <w:sz w:val="24"/>
          <w:szCs w:val="24"/>
          <w:lang w:val="en-US" w:eastAsia="zh-CN"/>
        </w:rPr>
        <w:t>期，作者：</w:t>
      </w:r>
      <w:r>
        <w:rPr>
          <w:rFonts w:hint="eastAsia" w:ascii="宋体" w:hAnsi="宋体" w:eastAsia="宋体" w:cs="宋体"/>
          <w:i/>
          <w:iCs/>
          <w:sz w:val="24"/>
          <w:szCs w:val="24"/>
        </w:rPr>
        <w:t>内蒙古自治区察哈尔右翼后旗人民法院</w:t>
      </w:r>
      <w:r>
        <w:rPr>
          <w:rFonts w:hint="eastAsia" w:cs="宋体"/>
          <w:i/>
          <w:iCs/>
          <w:sz w:val="24"/>
          <w:szCs w:val="24"/>
          <w:lang w:eastAsia="zh-CN"/>
        </w:rPr>
        <w:t>，</w:t>
      </w:r>
      <w:r>
        <w:rPr>
          <w:rFonts w:hint="eastAsia" w:ascii="宋体" w:hAnsi="宋体" w:eastAsia="宋体" w:cs="宋体"/>
          <w:i/>
          <w:iCs/>
          <w:sz w:val="24"/>
          <w:szCs w:val="24"/>
        </w:rPr>
        <w:t>史 昕 史秀永</w:t>
      </w:r>
      <w:r>
        <w:rPr>
          <w:rFonts w:hint="eastAsia" w:cs="宋体"/>
          <w:i/>
          <w:iCs/>
          <w:sz w:val="24"/>
          <w:szCs w:val="24"/>
          <w:lang w:eastAsia="zh-CN"/>
        </w:rPr>
        <w:t>，</w:t>
      </w:r>
      <w:r>
        <w:rPr>
          <w:rFonts w:hint="eastAsia" w:cs="宋体"/>
          <w:i/>
          <w:iCs/>
          <w:sz w:val="24"/>
          <w:szCs w:val="24"/>
          <w:lang w:val="en-US" w:eastAsia="zh-CN"/>
        </w:rPr>
        <w:t>案号：一审∶(2021)内0928民初1304号</w:t>
      </w:r>
      <w:r>
        <w:rPr>
          <w:rFonts w:hint="eastAsia" w:ascii="宋体" w:hAnsi="宋体" w:eastAsia="宋体" w:cs="宋体"/>
          <w:i/>
          <w:iCs/>
          <w:sz w:val="24"/>
          <w:szCs w:val="24"/>
          <w:lang w:eastAsia="zh-CN"/>
        </w:rPr>
        <w:t>）</w:t>
      </w:r>
    </w:p>
    <w:p>
      <w:pPr>
        <w:rPr>
          <w:rFonts w:hint="eastAsia"/>
          <w:lang w:eastAsia="zh-CN"/>
        </w:rPr>
      </w:pPr>
      <w:bookmarkStart w:id="0" w:name="_GoBack"/>
      <w:bookmarkEnd w:id="0"/>
    </w:p>
    <w:p>
      <w:pPr>
        <w:spacing w:line="500" w:lineRule="exact"/>
        <w:ind w:firstLine="642" w:firstLineChars="200"/>
        <w:rPr>
          <w:rFonts w:ascii="黑体" w:hAnsi="黑体" w:eastAsia="黑体" w:cs="黑体"/>
          <w:b/>
          <w:bCs/>
          <w:color w:val="FFFFFF"/>
          <w:spacing w:val="20"/>
          <w:sz w:val="28"/>
          <w:szCs w:val="28"/>
          <w:highlight w:val="blue"/>
        </w:rPr>
      </w:pPr>
      <w:r>
        <w:rPr>
          <w:rFonts w:hint="eastAsia" w:ascii="黑体" w:hAnsi="黑体" w:eastAsia="黑体" w:cs="黑体"/>
          <w:b/>
          <w:bCs/>
          <w:color w:val="FFFFFF"/>
          <w:spacing w:val="20"/>
          <w:sz w:val="28"/>
          <w:szCs w:val="28"/>
          <w:highlight w:val="blue"/>
        </w:rPr>
        <w:t>声明</w:t>
      </w:r>
    </w:p>
    <w:p>
      <w:pPr>
        <w:spacing w:line="500" w:lineRule="exact"/>
        <w:rPr>
          <w:rFonts w:ascii="宋体" w:hAnsi="宋体" w:eastAsia="宋体" w:cs="Times New Roman"/>
          <w:szCs w:val="24"/>
        </w:rPr>
      </w:pPr>
    </w:p>
    <w:p>
      <w:pPr>
        <w:spacing w:line="500" w:lineRule="exact"/>
        <w:ind w:firstLine="440" w:firstLineChars="200"/>
        <w:rPr>
          <w:rFonts w:ascii="宋体" w:hAnsi="宋体" w:eastAsia="宋体" w:cs="Times New Roman"/>
          <w:sz w:val="22"/>
        </w:rPr>
      </w:pPr>
      <w:r>
        <w:rPr>
          <w:rFonts w:hint="eastAsia" w:ascii="宋体" w:hAnsi="宋体" w:eastAsia="宋体" w:cs="Times New Roman"/>
          <w:sz w:val="22"/>
        </w:rPr>
        <w:t>本篇信息简报由民事法律专业委员会副主任委员吴洪涛律师、陈允楠律师为主要内容进行整合并采用后编辑，简报中的相关信息及内容并不代表大连市律师协会民事法律专业委员会及本网站赞同其观点和对其真实性、准确性负责。如涉及作品内容，版权及相关问题，请在发布后30日内与本会，我们将与您沟通，听取意见和建议，进行调整或删除内容。</w:t>
      </w:r>
    </w:p>
    <w:p>
      <w:pPr>
        <w:spacing w:line="500" w:lineRule="exact"/>
        <w:ind w:firstLine="440" w:firstLineChars="200"/>
        <w:rPr>
          <w:rFonts w:ascii="宋体" w:hAnsi="宋体" w:eastAsia="宋体" w:cs="Times New Roman"/>
          <w:sz w:val="22"/>
        </w:rPr>
      </w:pPr>
    </w:p>
    <w:p>
      <w:pPr>
        <w:spacing w:line="500" w:lineRule="exact"/>
        <w:ind w:firstLine="440" w:firstLineChars="200"/>
        <w:rPr>
          <w:rFonts w:ascii="宋体" w:hAnsi="宋体" w:eastAsia="宋体" w:cs="Times New Roman"/>
          <w:sz w:val="22"/>
        </w:rPr>
      </w:pPr>
      <w:r>
        <w:rPr>
          <w:rFonts w:hint="eastAsia" w:ascii="宋体" w:hAnsi="宋体" w:eastAsia="宋体" w:cs="Times New Roman"/>
          <w:sz w:val="22"/>
        </w:rPr>
        <w:t>邮箱：</w:t>
      </w:r>
      <w:r>
        <w:rPr>
          <w:rFonts w:hint="eastAsia" w:ascii="Calibri" w:hAnsi="Calibri" w:eastAsia="宋体" w:cs="Times New Roman"/>
          <w:sz w:val="22"/>
        </w:rPr>
        <w:t>yunnanscaler@163.com</w:t>
      </w:r>
    </w:p>
    <w:p>
      <w:pPr>
        <w:spacing w:line="500" w:lineRule="exact"/>
        <w:ind w:firstLine="440" w:firstLineChars="200"/>
        <w:rPr>
          <w:rFonts w:ascii="宋体" w:hAnsi="宋体" w:eastAsia="宋体" w:cs="Times New Roman"/>
          <w:sz w:val="22"/>
        </w:rPr>
      </w:pPr>
      <w:r>
        <w:rPr>
          <w:rFonts w:hint="eastAsia" w:ascii="宋体" w:hAnsi="宋体" w:eastAsia="宋体" w:cs="Times New Roman"/>
          <w:sz w:val="22"/>
        </w:rPr>
        <w:t>联系人：陈允楠</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93194699"/>
    </w:sdtPr>
    <w:sdtContent>
      <w:p>
        <w:pPr>
          <w:pStyle w:val="4"/>
          <w:jc w:val="center"/>
        </w:pPr>
        <w:r>
          <w:fldChar w:fldCharType="begin"/>
        </w:r>
        <w:r>
          <w:instrText xml:space="preserve">PAGE   \* MERGEFORMAT</w:instrText>
        </w:r>
        <w:r>
          <w:fldChar w:fldCharType="separate"/>
        </w:r>
        <w:r>
          <w:rPr>
            <w:lang w:val="zh-CN"/>
          </w:rPr>
          <w:t>15</w:t>
        </w:r>
        <w:r>
          <w:fldChar w:fldCharType="end"/>
        </w:r>
      </w:p>
    </w:sdtContent>
  </w:sdt>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C62ED7"/>
    <w:multiLevelType w:val="singleLevel"/>
    <w:tmpl w:val="58C62ED7"/>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wZTFmZjI5MWEyNTA4ZmM0OWU0ZTgwZDU1ZjFkN2EifQ=="/>
  </w:docVars>
  <w:rsids>
    <w:rsidRoot w:val="00427216"/>
    <w:rsid w:val="00041ACD"/>
    <w:rsid w:val="000C30B2"/>
    <w:rsid w:val="001229EF"/>
    <w:rsid w:val="0013778B"/>
    <w:rsid w:val="0018009B"/>
    <w:rsid w:val="001F53CD"/>
    <w:rsid w:val="00231D34"/>
    <w:rsid w:val="0032044F"/>
    <w:rsid w:val="0035658A"/>
    <w:rsid w:val="003B0C7C"/>
    <w:rsid w:val="003C73C4"/>
    <w:rsid w:val="003F1D95"/>
    <w:rsid w:val="00427216"/>
    <w:rsid w:val="004478EA"/>
    <w:rsid w:val="00465816"/>
    <w:rsid w:val="00467F55"/>
    <w:rsid w:val="004D0352"/>
    <w:rsid w:val="004F7A18"/>
    <w:rsid w:val="0056338D"/>
    <w:rsid w:val="006D72E9"/>
    <w:rsid w:val="006F3DAA"/>
    <w:rsid w:val="007106EF"/>
    <w:rsid w:val="00747EF5"/>
    <w:rsid w:val="007649CE"/>
    <w:rsid w:val="00776DDB"/>
    <w:rsid w:val="00790EF5"/>
    <w:rsid w:val="008E0CF2"/>
    <w:rsid w:val="00932452"/>
    <w:rsid w:val="00942878"/>
    <w:rsid w:val="00A3611A"/>
    <w:rsid w:val="00A752DA"/>
    <w:rsid w:val="00A92E0B"/>
    <w:rsid w:val="00B36038"/>
    <w:rsid w:val="00C1473C"/>
    <w:rsid w:val="00C158A9"/>
    <w:rsid w:val="00C52BE6"/>
    <w:rsid w:val="00C66A3F"/>
    <w:rsid w:val="00CB6889"/>
    <w:rsid w:val="00CE72BC"/>
    <w:rsid w:val="00D206B4"/>
    <w:rsid w:val="00D2325E"/>
    <w:rsid w:val="00D8272C"/>
    <w:rsid w:val="00D906FD"/>
    <w:rsid w:val="00DC4605"/>
    <w:rsid w:val="00E070C1"/>
    <w:rsid w:val="00E16172"/>
    <w:rsid w:val="00E274E7"/>
    <w:rsid w:val="00E76A2E"/>
    <w:rsid w:val="00E83ADB"/>
    <w:rsid w:val="00E97422"/>
    <w:rsid w:val="00F36864"/>
    <w:rsid w:val="00FB19D8"/>
    <w:rsid w:val="00FC6DE9"/>
    <w:rsid w:val="00FF5577"/>
    <w:rsid w:val="029A1B3E"/>
    <w:rsid w:val="037E7632"/>
    <w:rsid w:val="04E946B7"/>
    <w:rsid w:val="06021ED4"/>
    <w:rsid w:val="0A68669B"/>
    <w:rsid w:val="0F900551"/>
    <w:rsid w:val="17954516"/>
    <w:rsid w:val="1D421DA2"/>
    <w:rsid w:val="1F974FE3"/>
    <w:rsid w:val="24D84DE9"/>
    <w:rsid w:val="255C3D69"/>
    <w:rsid w:val="27402404"/>
    <w:rsid w:val="2E6C6E1C"/>
    <w:rsid w:val="3EDA0F42"/>
    <w:rsid w:val="41DF1C0A"/>
    <w:rsid w:val="45525F76"/>
    <w:rsid w:val="4DBD6EAA"/>
    <w:rsid w:val="52AD748E"/>
    <w:rsid w:val="5540756B"/>
    <w:rsid w:val="56A55AB1"/>
    <w:rsid w:val="5BEC7E8A"/>
    <w:rsid w:val="5F557AF4"/>
    <w:rsid w:val="61E930F5"/>
    <w:rsid w:val="70F2351F"/>
    <w:rsid w:val="79625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semiHidden/>
    <w:unhideWhenUsed/>
    <w:qFormat/>
    <w:uiPriority w:val="9"/>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rPr>
      <w:sz w:val="24"/>
    </w:rPr>
  </w:style>
  <w:style w:type="character" w:styleId="9">
    <w:name w:val="Strong"/>
    <w:basedOn w:val="8"/>
    <w:qFormat/>
    <w:uiPriority w:val="22"/>
    <w:rPr>
      <w:b/>
    </w:rPr>
  </w:style>
  <w:style w:type="character" w:customStyle="1" w:styleId="10">
    <w:name w:val="页眉 Char"/>
    <w:basedOn w:val="8"/>
    <w:link w:val="5"/>
    <w:qFormat/>
    <w:uiPriority w:val="99"/>
    <w:rPr>
      <w:sz w:val="18"/>
      <w:szCs w:val="18"/>
    </w:rPr>
  </w:style>
  <w:style w:type="character" w:customStyle="1" w:styleId="11">
    <w:name w:val="页脚 Char"/>
    <w:basedOn w:val="8"/>
    <w:link w:val="4"/>
    <w:qFormat/>
    <w:uiPriority w:val="99"/>
    <w:rPr>
      <w:sz w:val="18"/>
      <w:szCs w:val="18"/>
    </w:rPr>
  </w:style>
  <w:style w:type="character" w:customStyle="1" w:styleId="12">
    <w:name w:val="批注框文本 Char"/>
    <w:basedOn w:val="8"/>
    <w:link w:val="3"/>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win10com.com</Company>
  <Pages>24</Pages>
  <Words>17762</Words>
  <Characters>18111</Characters>
  <Lines>73</Lines>
  <Paragraphs>20</Paragraphs>
  <TotalTime>84</TotalTime>
  <ScaleCrop>false</ScaleCrop>
  <LinksUpToDate>false</LinksUpToDate>
  <CharactersWithSpaces>18169</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2021-08-27T13:55:00Z</dcterms:created>
  <dc:creator>Windows 用户</dc:creator>
  <cp:lastModifiedBy>吴洪涛</cp:lastModifiedBy>
  <dcterms:modified xsi:type="dcterms:W3CDTF">2023-05-04T07:22:28Z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FEFBEB7687F64749BEAC8CCA396224EF</vt:lpwstr>
  </property>
</Properties>
</file>