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82C104">
      <w:pPr>
        <w:pStyle w:val="6"/>
        <w:adjustRightInd w:val="0"/>
        <w:snapToGrid w:val="0"/>
        <w:ind w:left="142"/>
        <w:jc w:val="center"/>
        <w:rPr>
          <w:rFonts w:ascii="黑体" w:hAnsi="黑体" w:eastAsia="黑体"/>
          <w:bCs/>
          <w:color w:val="011893"/>
          <w:sz w:val="52"/>
          <w:szCs w:val="52"/>
        </w:rPr>
      </w:pPr>
      <w:r>
        <w:rPr>
          <w:rFonts w:ascii="黑体" w:hAnsi="黑体" w:eastAsia="黑体"/>
          <w:bCs/>
          <w:color w:val="011893"/>
          <w:sz w:val="52"/>
          <w:szCs w:val="52"/>
        </w:rPr>
        <w:t>大连市律师协会公司法律专业委员会</w:t>
      </w:r>
    </w:p>
    <w:p w14:paraId="571364AB">
      <w:pPr>
        <w:adjustRightInd w:val="0"/>
        <w:snapToGrid w:val="0"/>
        <w:ind w:firstLine="589" w:firstLineChars="200"/>
        <w:jc w:val="center"/>
        <w:rPr>
          <w:rFonts w:ascii="黑体" w:hAnsi="黑体" w:eastAsia="黑体"/>
          <w:b/>
          <w:bCs/>
          <w:color w:val="333399"/>
          <w:spacing w:val="-3"/>
          <w:sz w:val="30"/>
          <w:szCs w:val="30"/>
        </w:rPr>
      </w:pPr>
    </w:p>
    <w:p w14:paraId="1D8C87F3">
      <w:pPr>
        <w:spacing w:before="98"/>
        <w:ind w:firstLine="600" w:firstLineChars="200"/>
        <w:rPr>
          <w:rFonts w:ascii="黑体" w:hAnsi="黑体" w:eastAsia="黑体"/>
          <w:sz w:val="30"/>
          <w:szCs w:val="30"/>
        </w:rPr>
      </w:pPr>
    </w:p>
    <w:p w14:paraId="02D4D2AA">
      <w:pPr>
        <w:spacing w:before="156" w:beforeLines="50" w:after="156" w:afterLines="50" w:line="360" w:lineRule="auto"/>
        <w:jc w:val="center"/>
        <w:rPr>
          <w:rFonts w:ascii="宋体" w:hAnsi="宋体" w:eastAsia="宋体"/>
          <w:b/>
          <w:bCs/>
          <w:color w:val="FF0000"/>
          <w:sz w:val="52"/>
          <w:szCs w:val="52"/>
        </w:rPr>
      </w:pPr>
      <w:r>
        <w:rPr>
          <w:rFonts w:hint="eastAsia" w:ascii="宋体" w:hAnsi="宋体" w:eastAsia="宋体"/>
          <w:b/>
          <w:bCs/>
          <w:color w:val="FF0000"/>
          <w:sz w:val="52"/>
          <w:szCs w:val="52"/>
        </w:rPr>
        <w:t>公司法律信息速递</w:t>
      </w:r>
    </w:p>
    <w:p w14:paraId="0177D08A">
      <w:pPr>
        <w:spacing w:before="156" w:beforeLines="50" w:after="156" w:afterLines="50" w:line="360" w:lineRule="auto"/>
        <w:ind w:firstLine="601" w:firstLineChars="200"/>
        <w:jc w:val="center"/>
        <w:rPr>
          <w:rFonts w:ascii="宋体" w:hAnsi="宋体" w:eastAsia="宋体"/>
          <w:b/>
          <w:bCs/>
          <w:color w:val="FF0000"/>
          <w:sz w:val="30"/>
          <w:szCs w:val="30"/>
        </w:rPr>
      </w:pPr>
    </w:p>
    <w:p w14:paraId="464259CA">
      <w:pPr>
        <w:spacing w:before="156" w:beforeLines="50" w:after="156" w:afterLines="50" w:line="360" w:lineRule="auto"/>
        <w:ind w:firstLine="561" w:firstLineChars="200"/>
        <w:jc w:val="center"/>
        <w:rPr>
          <w:rFonts w:ascii="宋体" w:hAnsi="宋体" w:eastAsia="宋体"/>
          <w:b/>
          <w:bCs/>
          <w:sz w:val="28"/>
          <w:szCs w:val="28"/>
        </w:rPr>
      </w:pPr>
      <w:r>
        <w:rPr>
          <w:rFonts w:hint="eastAsia" w:ascii="宋体" w:hAnsi="宋体" w:eastAsia="宋体"/>
          <w:b/>
          <w:bCs/>
          <w:sz w:val="28"/>
          <w:szCs w:val="28"/>
        </w:rPr>
        <w:t>2025年第6期</w:t>
      </w:r>
    </w:p>
    <w:p w14:paraId="6D52C8BD">
      <w:pPr>
        <w:spacing w:before="156" w:beforeLines="50" w:after="156" w:afterLines="50" w:line="360" w:lineRule="auto"/>
        <w:ind w:firstLine="601" w:firstLineChars="200"/>
        <w:jc w:val="center"/>
        <w:rPr>
          <w:rFonts w:ascii="宋体" w:hAnsi="宋体" w:eastAsia="宋体"/>
          <w:b/>
          <w:bCs/>
          <w:color w:val="FF0000"/>
          <w:sz w:val="30"/>
          <w:szCs w:val="30"/>
        </w:rPr>
      </w:pPr>
    </w:p>
    <w:p w14:paraId="393552E1">
      <w:pPr>
        <w:tabs>
          <w:tab w:val="left" w:pos="7886"/>
        </w:tabs>
        <w:spacing w:before="156" w:beforeLines="50" w:after="156" w:afterLines="50" w:line="360" w:lineRule="auto"/>
        <w:rPr>
          <w:rFonts w:hint="eastAsia" w:ascii="宋体" w:hAnsi="宋体" w:eastAsia="宋体"/>
          <w:b/>
          <w:bCs/>
          <w:color w:val="FF0000"/>
          <w:sz w:val="30"/>
          <w:szCs w:val="30"/>
          <w:lang w:eastAsia="zh-CN"/>
        </w:rPr>
      </w:pPr>
      <w:r>
        <w:rPr>
          <w:rFonts w:hint="eastAsia" w:ascii="宋体" w:hAnsi="宋体" w:eastAsia="宋体"/>
          <w:b/>
          <w:bCs/>
          <w:color w:val="FF0000"/>
          <w:sz w:val="30"/>
          <w:szCs w:val="30"/>
          <w:lang w:eastAsia="zh-CN"/>
        </w:rPr>
        <w:tab/>
      </w:r>
      <w:bookmarkStart w:id="39" w:name="_GoBack"/>
      <w:bookmarkEnd w:id="39"/>
    </w:p>
    <w:p w14:paraId="7C44E992">
      <w:pPr>
        <w:spacing w:before="156" w:beforeLines="50" w:after="156" w:afterLines="50" w:line="360" w:lineRule="auto"/>
        <w:ind w:firstLine="1920" w:firstLineChars="800"/>
        <w:rPr>
          <w:rFonts w:ascii="宋体" w:hAnsi="宋体" w:eastAsia="宋体"/>
          <w:sz w:val="24"/>
        </w:rPr>
      </w:pPr>
      <w:r>
        <w:rPr>
          <w:rFonts w:hint="eastAsia" w:ascii="宋体" w:hAnsi="宋体" w:eastAsia="宋体"/>
          <w:sz w:val="24"/>
        </w:rPr>
        <w:t xml:space="preserve">本期编辑：任昱佳律师  </w:t>
      </w:r>
      <w:r>
        <w:rPr>
          <w:rFonts w:ascii="宋体" w:hAnsi="宋体" w:eastAsia="宋体"/>
          <w:sz w:val="24"/>
        </w:rPr>
        <w:t xml:space="preserve">    </w:t>
      </w:r>
      <w:r>
        <w:rPr>
          <w:rFonts w:hint="eastAsia" w:ascii="宋体" w:hAnsi="宋体" w:eastAsia="宋体"/>
          <w:sz w:val="24"/>
        </w:rPr>
        <w:t>辽宁智库律师事务所</w:t>
      </w:r>
    </w:p>
    <w:p w14:paraId="6EA8134C">
      <w:pPr>
        <w:spacing w:before="156" w:beforeLines="50" w:after="156" w:afterLines="50" w:line="360" w:lineRule="auto"/>
        <w:jc w:val="center"/>
        <w:rPr>
          <w:rFonts w:ascii="宋体" w:hAnsi="宋体" w:eastAsia="宋体"/>
          <w:sz w:val="24"/>
        </w:rPr>
      </w:pPr>
      <w:r>
        <w:rPr>
          <w:rFonts w:hint="eastAsia" w:ascii="宋体" w:hAnsi="宋体" w:eastAsia="宋体"/>
          <w:sz w:val="24"/>
        </w:rPr>
        <w:t xml:space="preserve"> </w:t>
      </w:r>
      <w:r>
        <w:rPr>
          <w:rFonts w:ascii="宋体" w:hAnsi="宋体" w:eastAsia="宋体"/>
          <w:sz w:val="24"/>
        </w:rPr>
        <w:t xml:space="preserve"> </w:t>
      </w:r>
      <w:r>
        <w:rPr>
          <w:rFonts w:hint="eastAsia" w:ascii="宋体" w:hAnsi="宋体" w:eastAsia="宋体"/>
          <w:sz w:val="24"/>
        </w:rPr>
        <w:t xml:space="preserve">    潘思羽 </w:t>
      </w:r>
      <w:r>
        <w:rPr>
          <w:rFonts w:ascii="宋体" w:hAnsi="宋体" w:eastAsia="宋体"/>
          <w:sz w:val="24"/>
        </w:rPr>
        <w:t xml:space="preserve">       </w:t>
      </w:r>
      <w:r>
        <w:rPr>
          <w:rFonts w:hint="eastAsia" w:ascii="宋体" w:hAnsi="宋体" w:eastAsia="宋体"/>
          <w:sz w:val="24"/>
        </w:rPr>
        <w:t xml:space="preserve"> </w:t>
      </w:r>
      <w:r>
        <w:rPr>
          <w:rFonts w:ascii="宋体" w:hAnsi="宋体" w:eastAsia="宋体"/>
          <w:sz w:val="24"/>
        </w:rPr>
        <w:t xml:space="preserve"> </w:t>
      </w:r>
      <w:r>
        <w:rPr>
          <w:rFonts w:hint="eastAsia" w:ascii="宋体" w:hAnsi="宋体" w:eastAsia="宋体"/>
          <w:sz w:val="24"/>
        </w:rPr>
        <w:t>辽宁智库律师事务所</w:t>
      </w:r>
    </w:p>
    <w:p w14:paraId="5F14EB67">
      <w:pPr>
        <w:spacing w:before="156" w:beforeLines="50" w:after="156" w:afterLines="50" w:line="360" w:lineRule="auto"/>
        <w:ind w:firstLine="480" w:firstLineChars="200"/>
        <w:jc w:val="center"/>
        <w:rPr>
          <w:rFonts w:ascii="宋体" w:hAnsi="宋体" w:eastAsia="宋体"/>
          <w:sz w:val="24"/>
        </w:rPr>
      </w:pPr>
      <w:r>
        <w:rPr>
          <w:rFonts w:ascii="宋体" w:hAnsi="宋体" w:eastAsia="宋体"/>
          <w:sz w:val="24"/>
        </w:rPr>
        <w:t xml:space="preserve">               </w:t>
      </w:r>
    </w:p>
    <w:p w14:paraId="50171534">
      <w:pPr>
        <w:spacing w:before="156" w:beforeLines="50" w:after="156" w:afterLines="50" w:line="360" w:lineRule="auto"/>
        <w:ind w:firstLine="1920" w:firstLineChars="800"/>
        <w:rPr>
          <w:rFonts w:ascii="宋体" w:hAnsi="宋体" w:eastAsia="宋体"/>
          <w:sz w:val="24"/>
        </w:rPr>
      </w:pPr>
      <w:r>
        <w:rPr>
          <w:rFonts w:hint="eastAsia" w:ascii="宋体" w:hAnsi="宋体" w:eastAsia="宋体"/>
          <w:sz w:val="24"/>
        </w:rPr>
        <w:t xml:space="preserve">责任编辑：赵莹莹律师 </w:t>
      </w:r>
      <w:r>
        <w:rPr>
          <w:rFonts w:ascii="宋体" w:hAnsi="宋体" w:eastAsia="宋体"/>
          <w:sz w:val="24"/>
        </w:rPr>
        <w:t xml:space="preserve">     </w:t>
      </w:r>
      <w:r>
        <w:rPr>
          <w:rFonts w:hint="eastAsia" w:ascii="宋体" w:hAnsi="宋体" w:eastAsia="宋体"/>
          <w:sz w:val="24"/>
        </w:rPr>
        <w:t>辽宁智库律师事务所</w:t>
      </w:r>
    </w:p>
    <w:p w14:paraId="2D509CAF">
      <w:pPr>
        <w:spacing w:before="156" w:beforeLines="50" w:after="156" w:afterLines="50" w:line="360" w:lineRule="auto"/>
        <w:ind w:firstLine="480" w:firstLineChars="200"/>
        <w:rPr>
          <w:rFonts w:ascii="宋体" w:hAnsi="宋体" w:eastAsia="宋体"/>
          <w:sz w:val="24"/>
        </w:rPr>
      </w:pPr>
    </w:p>
    <w:p w14:paraId="2A14E9A9">
      <w:pPr>
        <w:spacing w:before="156" w:beforeLines="50" w:after="156" w:afterLines="50" w:line="360" w:lineRule="auto"/>
        <w:ind w:firstLine="480" w:firstLineChars="200"/>
        <w:rPr>
          <w:rFonts w:ascii="宋体" w:hAnsi="宋体" w:eastAsia="宋体"/>
          <w:color w:val="011893"/>
          <w:sz w:val="24"/>
        </w:rPr>
      </w:pPr>
    </w:p>
    <w:p w14:paraId="303342C4">
      <w:pPr>
        <w:spacing w:before="156" w:beforeLines="50" w:after="156" w:afterLines="50" w:line="360" w:lineRule="auto"/>
        <w:ind w:firstLine="480" w:firstLineChars="200"/>
        <w:rPr>
          <w:rFonts w:ascii="宋体" w:hAnsi="宋体" w:eastAsia="宋体"/>
          <w:color w:val="011893"/>
          <w:sz w:val="24"/>
        </w:rPr>
      </w:pPr>
    </w:p>
    <w:p w14:paraId="1612C9D9">
      <w:pPr>
        <w:spacing w:before="156" w:beforeLines="50" w:after="156" w:afterLines="50" w:line="360" w:lineRule="auto"/>
        <w:ind w:firstLine="480" w:firstLineChars="200"/>
        <w:rPr>
          <w:rFonts w:ascii="宋体" w:hAnsi="宋体" w:eastAsia="宋体"/>
          <w:color w:val="011893"/>
          <w:sz w:val="24"/>
        </w:rPr>
      </w:pPr>
    </w:p>
    <w:p w14:paraId="32DEDE04">
      <w:pPr>
        <w:spacing w:before="156" w:beforeLines="50" w:after="156" w:afterLines="50" w:line="360" w:lineRule="auto"/>
        <w:ind w:firstLine="480" w:firstLineChars="200"/>
        <w:rPr>
          <w:rFonts w:ascii="宋体" w:hAnsi="宋体" w:eastAsia="宋体"/>
          <w:color w:val="011893"/>
          <w:sz w:val="24"/>
        </w:rPr>
      </w:pPr>
    </w:p>
    <w:p w14:paraId="1F479F10">
      <w:pPr>
        <w:pBdr>
          <w:top w:val="single" w:color="auto" w:sz="4" w:space="6"/>
          <w:left w:val="single" w:color="auto" w:sz="4" w:space="4"/>
          <w:bottom w:val="single" w:color="auto" w:sz="4" w:space="1"/>
          <w:right w:val="single" w:color="auto" w:sz="4" w:space="4"/>
        </w:pBdr>
        <w:spacing w:before="132" w:line="271" w:lineRule="auto"/>
        <w:ind w:right="157" w:firstLine="432" w:firstLineChars="200"/>
        <w:rPr>
          <w:rFonts w:ascii="黑体" w:hAnsi="黑体" w:eastAsia="黑体"/>
          <w:b/>
          <w:bCs/>
          <w:color w:val="011893"/>
          <w:spacing w:val="7"/>
        </w:rPr>
      </w:pPr>
      <w:r>
        <w:rPr>
          <w:rFonts w:hint="eastAsia" w:ascii="黑体" w:hAnsi="黑体" w:eastAsia="黑体"/>
          <w:b/>
          <w:bCs/>
          <w:color w:val="011893"/>
          <w:spacing w:val="8"/>
          <w:sz w:val="20"/>
          <w:szCs w:val="20"/>
        </w:rPr>
        <w:t>特别声明：本信息简报所载内容均来自国内报刊、专业网站已发表的文章等信息。在任何情形下，本信息简报均不可作为法律意见、作出行动或制止行动的</w:t>
      </w:r>
      <w:r>
        <w:rPr>
          <w:rFonts w:hint="eastAsia" w:ascii="黑体" w:hAnsi="黑体" w:eastAsia="黑体"/>
          <w:b/>
          <w:bCs/>
          <w:color w:val="011893"/>
          <w:spacing w:val="7"/>
          <w:sz w:val="20"/>
          <w:szCs w:val="20"/>
        </w:rPr>
        <w:t>依据。</w:t>
      </w:r>
    </w:p>
    <w:p w14:paraId="3C9675EF">
      <w:pPr>
        <w:pBdr>
          <w:top w:val="single" w:color="auto" w:sz="4" w:space="6"/>
          <w:left w:val="single" w:color="auto" w:sz="4" w:space="4"/>
          <w:bottom w:val="single" w:color="auto" w:sz="4" w:space="1"/>
          <w:right w:val="single" w:color="auto" w:sz="4" w:space="4"/>
        </w:pBdr>
        <w:spacing w:before="132" w:line="271" w:lineRule="auto"/>
        <w:ind w:right="157" w:firstLine="432" w:firstLineChars="200"/>
        <w:rPr>
          <w:rFonts w:ascii="黑体" w:hAnsi="黑体" w:eastAsia="黑体"/>
          <w:color w:val="011893"/>
          <w:sz w:val="20"/>
          <w:szCs w:val="20"/>
        </w:rPr>
      </w:pPr>
      <w:r>
        <w:rPr>
          <w:rFonts w:hint="eastAsia" w:ascii="黑体" w:hAnsi="黑体" w:eastAsia="黑体"/>
          <w:b/>
          <w:bCs/>
          <w:color w:val="011893"/>
          <w:spacing w:val="8"/>
          <w:sz w:val="20"/>
          <w:szCs w:val="20"/>
        </w:rPr>
        <w:t>版权保护：本信息简报由大连市律师协会公司法律专业委员会共同编辑并发布。任何有关本信息简报的转载或摘编，请注明出处。</w:t>
      </w:r>
    </w:p>
    <w:p w14:paraId="12D87A7A"/>
    <w:p w14:paraId="7F1AA539">
      <w:pPr>
        <w:adjustRightInd w:val="0"/>
        <w:snapToGrid w:val="0"/>
        <w:spacing w:before="156" w:beforeLines="50" w:after="156" w:afterLines="50" w:line="360" w:lineRule="auto"/>
        <w:jc w:val="center"/>
        <w:rPr>
          <w:rFonts w:ascii="宋体" w:hAnsi="宋体" w:eastAsia="宋体"/>
          <w:b/>
          <w:bCs/>
          <w:sz w:val="30"/>
          <w:szCs w:val="30"/>
        </w:rPr>
      </w:pPr>
      <w:r>
        <w:rPr>
          <w:rFonts w:hint="eastAsia" w:ascii="宋体" w:hAnsi="宋体" w:eastAsia="宋体"/>
          <w:b/>
          <w:bCs/>
          <w:sz w:val="30"/>
          <w:szCs w:val="30"/>
        </w:rPr>
        <w:t>目 录</w:t>
      </w:r>
    </w:p>
    <w:p w14:paraId="21E67E0C">
      <w:pPr>
        <w:adjustRightInd w:val="0"/>
        <w:snapToGrid w:val="0"/>
        <w:spacing w:before="156" w:beforeLines="50" w:after="156" w:afterLines="50" w:line="360" w:lineRule="auto"/>
        <w:ind w:firstLine="561" w:firstLineChars="200"/>
        <w:rPr>
          <w:rFonts w:ascii="宋体" w:hAnsi="宋体" w:eastAsia="宋体"/>
          <w:b/>
          <w:bCs/>
          <w:color w:val="FFFFFF"/>
          <w:sz w:val="28"/>
          <w:szCs w:val="28"/>
          <w:highlight w:val="blue"/>
        </w:rPr>
      </w:pPr>
      <w:r>
        <w:rPr>
          <w:rFonts w:hint="eastAsia" w:ascii="宋体" w:hAnsi="宋体" w:eastAsia="宋体"/>
          <w:b/>
          <w:bCs/>
          <w:color w:val="FFFFFF"/>
          <w:sz w:val="28"/>
          <w:szCs w:val="28"/>
          <w:highlight w:val="blue"/>
        </w:rPr>
        <w:t>一、新法规政策总览</w:t>
      </w:r>
    </w:p>
    <w:p w14:paraId="41C2ABD4">
      <w:pPr>
        <w:adjustRightInd w:val="0"/>
        <w:snapToGrid w:val="0"/>
        <w:spacing w:line="360" w:lineRule="auto"/>
        <w:ind w:firstLine="480" w:firstLineChars="200"/>
        <w:rPr>
          <w:rFonts w:ascii="宋体" w:hAnsi="宋体" w:eastAsia="宋体"/>
          <w:sz w:val="24"/>
        </w:rPr>
      </w:pPr>
      <w:r>
        <w:rPr>
          <w:rFonts w:hint="eastAsia" w:ascii="宋体" w:hAnsi="宋体" w:eastAsia="宋体"/>
          <w:sz w:val="24"/>
        </w:rPr>
        <w:t>1.2025年9月30日，最高人民法院发布《最高人民法院关于适用〈中华人民共和国公司法〉若干问题的解释（征求意见稿）》向社会公开征求意见</w:t>
      </w:r>
    </w:p>
    <w:p w14:paraId="6D06331C">
      <w:pPr>
        <w:adjustRightInd w:val="0"/>
        <w:snapToGrid w:val="0"/>
        <w:spacing w:line="360" w:lineRule="auto"/>
        <w:ind w:firstLine="480" w:firstLineChars="200"/>
        <w:rPr>
          <w:rFonts w:ascii="宋体" w:hAnsi="宋体" w:eastAsia="宋体"/>
          <w:sz w:val="24"/>
        </w:rPr>
      </w:pPr>
      <w:r>
        <w:rPr>
          <w:rFonts w:hint="eastAsia" w:ascii="宋体" w:hAnsi="宋体" w:eastAsia="宋体"/>
          <w:sz w:val="24"/>
        </w:rPr>
        <w:t>2.2025年10月9日，财政部,国家税务总局共同发布《企业兼并重组主要税收优惠政策指引》（2025年10月9日起施行）</w:t>
      </w:r>
    </w:p>
    <w:p w14:paraId="573B6929">
      <w:pPr>
        <w:adjustRightInd w:val="0"/>
        <w:snapToGrid w:val="0"/>
        <w:spacing w:line="360" w:lineRule="auto"/>
        <w:ind w:firstLine="480" w:firstLineChars="200"/>
        <w:rPr>
          <w:rFonts w:ascii="宋体" w:hAnsi="宋体" w:eastAsia="宋体"/>
          <w:sz w:val="24"/>
        </w:rPr>
      </w:pPr>
      <w:r>
        <w:rPr>
          <w:rFonts w:hint="eastAsia" w:ascii="宋体" w:hAnsi="宋体" w:eastAsia="宋体"/>
          <w:sz w:val="24"/>
        </w:rPr>
        <w:t>3.2025年10月9日，财政部发布《金融机构国有股权董事议案审议操作指引（2025年修订版）》（2025年11月9日起施行）</w:t>
      </w:r>
    </w:p>
    <w:p w14:paraId="5F910900">
      <w:pPr>
        <w:adjustRightInd w:val="0"/>
        <w:snapToGrid w:val="0"/>
        <w:spacing w:line="360" w:lineRule="auto"/>
        <w:ind w:firstLine="480" w:firstLineChars="200"/>
        <w:rPr>
          <w:rFonts w:ascii="宋体" w:hAnsi="宋体" w:eastAsia="宋体"/>
          <w:sz w:val="24"/>
        </w:rPr>
      </w:pPr>
      <w:r>
        <w:rPr>
          <w:rFonts w:hint="eastAsia" w:ascii="宋体" w:hAnsi="宋体" w:eastAsia="宋体"/>
          <w:sz w:val="24"/>
        </w:rPr>
        <w:t>4.2025年10月16日，中国证券监督管理委员会发布《上市公司治理准则》（2026年1月1日起施行）</w:t>
      </w:r>
    </w:p>
    <w:p w14:paraId="227E593E">
      <w:pPr>
        <w:adjustRightInd w:val="0"/>
        <w:snapToGrid w:val="0"/>
        <w:spacing w:line="360" w:lineRule="auto"/>
        <w:ind w:firstLine="480" w:firstLineChars="200"/>
        <w:rPr>
          <w:rFonts w:ascii="宋体" w:hAnsi="宋体" w:eastAsia="宋体"/>
          <w:sz w:val="24"/>
        </w:rPr>
      </w:pPr>
      <w:r>
        <w:rPr>
          <w:rFonts w:hint="eastAsia" w:ascii="宋体" w:hAnsi="宋体" w:eastAsia="宋体"/>
          <w:sz w:val="24"/>
        </w:rPr>
        <w:t>5.2025年10月27日，</w:t>
      </w:r>
      <w:r>
        <w:rPr>
          <w:rFonts w:ascii="宋体" w:hAnsi="宋体" w:eastAsia="宋体"/>
          <w:sz w:val="24"/>
        </w:rPr>
        <w:t>中国证券监督管理委员会</w:t>
      </w:r>
      <w:r>
        <w:rPr>
          <w:rFonts w:hint="eastAsia" w:ascii="宋体" w:hAnsi="宋体" w:eastAsia="宋体"/>
          <w:sz w:val="24"/>
        </w:rPr>
        <w:t>发布</w:t>
      </w:r>
      <w:r>
        <w:rPr>
          <w:rFonts w:ascii="宋体" w:hAnsi="宋体" w:eastAsia="宋体"/>
          <w:sz w:val="24"/>
        </w:rPr>
        <w:t>《</w:t>
      </w:r>
      <w:r>
        <w:rPr>
          <w:rFonts w:hint="eastAsia" w:ascii="宋体" w:hAnsi="宋体" w:eastAsia="宋体"/>
          <w:sz w:val="24"/>
        </w:rPr>
        <w:t>关于加强资本市场中小投资者保护的若干意见</w:t>
      </w:r>
      <w:r>
        <w:rPr>
          <w:rFonts w:ascii="宋体" w:hAnsi="宋体" w:eastAsia="宋体"/>
          <w:sz w:val="24"/>
        </w:rPr>
        <w:t>》</w:t>
      </w:r>
      <w:r>
        <w:rPr>
          <w:rFonts w:hint="eastAsia" w:ascii="宋体" w:hAnsi="宋体" w:eastAsia="宋体"/>
          <w:sz w:val="24"/>
        </w:rPr>
        <w:t>（2025年10月27日</w:t>
      </w:r>
      <w:r>
        <w:rPr>
          <w:rFonts w:ascii="宋体" w:hAnsi="宋体" w:eastAsia="宋体"/>
          <w:sz w:val="24"/>
        </w:rPr>
        <w:t>起施行</w:t>
      </w:r>
      <w:r>
        <w:rPr>
          <w:rFonts w:hint="eastAsia" w:ascii="宋体" w:hAnsi="宋体" w:eastAsia="宋体"/>
          <w:sz w:val="24"/>
        </w:rPr>
        <w:t>）</w:t>
      </w:r>
    </w:p>
    <w:p w14:paraId="50A19BC9">
      <w:pPr>
        <w:adjustRightInd w:val="0"/>
        <w:snapToGrid w:val="0"/>
        <w:spacing w:before="156" w:beforeLines="50" w:after="156" w:afterLines="50" w:line="360" w:lineRule="auto"/>
        <w:ind w:firstLine="561" w:firstLineChars="200"/>
        <w:rPr>
          <w:rFonts w:ascii="宋体" w:hAnsi="宋体" w:eastAsia="宋体"/>
          <w:b/>
          <w:bCs/>
          <w:color w:val="FFFFFF"/>
          <w:sz w:val="28"/>
          <w:szCs w:val="28"/>
          <w:highlight w:val="blue"/>
        </w:rPr>
      </w:pPr>
      <w:r>
        <w:rPr>
          <w:rFonts w:hint="eastAsia" w:ascii="宋体" w:hAnsi="宋体" w:eastAsia="宋体"/>
          <w:b/>
          <w:bCs/>
          <w:color w:val="FFFFFF"/>
          <w:sz w:val="28"/>
          <w:szCs w:val="28"/>
          <w:highlight w:val="blue"/>
        </w:rPr>
        <w:t xml:space="preserve">二、典型示范案例解析 </w:t>
      </w:r>
    </w:p>
    <w:p w14:paraId="18254402">
      <w:pPr>
        <w:adjustRightInd w:val="0"/>
        <w:snapToGrid w:val="0"/>
        <w:spacing w:line="360" w:lineRule="auto"/>
        <w:ind w:firstLine="480" w:firstLineChars="200"/>
        <w:rPr>
          <w:rFonts w:ascii="宋体" w:hAnsi="宋体" w:eastAsia="宋体"/>
          <w:sz w:val="24"/>
        </w:rPr>
      </w:pPr>
      <w:r>
        <w:rPr>
          <w:rFonts w:hint="eastAsia" w:ascii="宋体" w:hAnsi="宋体" w:eastAsia="宋体"/>
          <w:sz w:val="24"/>
        </w:rPr>
        <w:t>1.夏某某请求变更公司登记纠纷二审案【案号：(2025)京03民终8510号】</w:t>
      </w:r>
    </w:p>
    <w:p w14:paraId="0BA9B54B">
      <w:pPr>
        <w:adjustRightInd w:val="0"/>
        <w:snapToGrid w:val="0"/>
        <w:spacing w:line="360" w:lineRule="auto"/>
        <w:ind w:firstLine="480" w:firstLineChars="200"/>
        <w:rPr>
          <w:rFonts w:ascii="宋体" w:hAnsi="宋体" w:eastAsia="宋体"/>
          <w:sz w:val="24"/>
        </w:rPr>
      </w:pPr>
      <w:r>
        <w:rPr>
          <w:rFonts w:hint="eastAsia" w:ascii="宋体" w:hAnsi="宋体" w:eastAsia="宋体"/>
          <w:sz w:val="24"/>
        </w:rPr>
        <w:t>2.广东某有限公司、黄某某请求变更公司登记纠纷再审案【案号：(2025)粤民申2500号】</w:t>
      </w:r>
    </w:p>
    <w:p w14:paraId="2CF1647C">
      <w:pPr>
        <w:adjustRightInd w:val="0"/>
        <w:snapToGrid w:val="0"/>
        <w:spacing w:line="360" w:lineRule="auto"/>
        <w:ind w:firstLine="480" w:firstLineChars="200"/>
        <w:rPr>
          <w:rFonts w:ascii="宋体" w:hAnsi="宋体" w:eastAsia="宋体"/>
          <w:sz w:val="24"/>
        </w:rPr>
      </w:pPr>
      <w:r>
        <w:rPr>
          <w:rFonts w:hint="eastAsia" w:ascii="宋体" w:hAnsi="宋体" w:eastAsia="宋体"/>
          <w:sz w:val="24"/>
        </w:rPr>
        <w:t>3.顾某与陕西虹立丰农业发展有限公司公司解散纠纷再审案【案号：(2025)陕民申889号】</w:t>
      </w:r>
    </w:p>
    <w:p w14:paraId="4D81D861">
      <w:pPr>
        <w:adjustRightInd w:val="0"/>
        <w:snapToGrid w:val="0"/>
        <w:spacing w:line="360" w:lineRule="auto"/>
        <w:ind w:firstLine="480" w:firstLineChars="200"/>
        <w:rPr>
          <w:rFonts w:ascii="宋体" w:hAnsi="宋体" w:eastAsia="宋体"/>
          <w:sz w:val="24"/>
        </w:rPr>
      </w:pPr>
      <w:r>
        <w:rPr>
          <w:rFonts w:hint="eastAsia" w:ascii="宋体" w:hAnsi="宋体" w:eastAsia="宋体"/>
          <w:sz w:val="24"/>
        </w:rPr>
        <w:t>4.珠海某有限公司、凯旋某有限公司等公司解散纠纷二审案【案号：(2025)粤民终795号】</w:t>
      </w:r>
    </w:p>
    <w:p w14:paraId="17B06A16">
      <w:pPr>
        <w:adjustRightInd w:val="0"/>
        <w:snapToGrid w:val="0"/>
        <w:spacing w:line="360" w:lineRule="auto"/>
        <w:ind w:firstLine="480" w:firstLineChars="200"/>
        <w:rPr>
          <w:rFonts w:ascii="宋体" w:hAnsi="宋体" w:eastAsia="宋体"/>
          <w:sz w:val="24"/>
        </w:rPr>
      </w:pPr>
      <w:r>
        <w:rPr>
          <w:rFonts w:hint="eastAsia" w:ascii="宋体" w:hAnsi="宋体" w:eastAsia="宋体"/>
          <w:sz w:val="24"/>
        </w:rPr>
        <w:t>5.王某等与武某二审案【案号：(2024)京民终1374号】</w:t>
      </w:r>
    </w:p>
    <w:p w14:paraId="20FB4160">
      <w:pPr>
        <w:adjustRightInd w:val="0"/>
        <w:snapToGrid w:val="0"/>
        <w:spacing w:line="360" w:lineRule="auto"/>
        <w:ind w:firstLine="480" w:firstLineChars="200"/>
        <w:rPr>
          <w:rFonts w:ascii="宋体" w:hAnsi="宋体" w:eastAsia="宋体"/>
          <w:sz w:val="24"/>
        </w:rPr>
      </w:pPr>
      <w:r>
        <w:rPr>
          <w:rFonts w:hint="eastAsia" w:ascii="宋体" w:hAnsi="宋体" w:eastAsia="宋体"/>
          <w:sz w:val="24"/>
        </w:rPr>
        <w:t>6</w:t>
      </w:r>
      <w:r>
        <w:rPr>
          <w:rFonts w:ascii="宋体" w:hAnsi="宋体" w:eastAsia="宋体"/>
          <w:sz w:val="24"/>
        </w:rPr>
        <w:t>.</w:t>
      </w:r>
      <w:r>
        <w:rPr>
          <w:rFonts w:hint="eastAsia" w:ascii="宋体" w:hAnsi="宋体" w:eastAsia="宋体"/>
          <w:sz w:val="24"/>
        </w:rPr>
        <w:t>周某某、郭某某等追加、变更被执行人异议之诉民事二审案【案号：(2025)宁民终15号】</w:t>
      </w:r>
    </w:p>
    <w:p w14:paraId="5684E984">
      <w:pPr>
        <w:adjustRightInd w:val="0"/>
        <w:snapToGrid w:val="0"/>
        <w:spacing w:line="360" w:lineRule="auto"/>
        <w:ind w:firstLine="480" w:firstLineChars="200"/>
        <w:rPr>
          <w:rFonts w:ascii="宋体" w:hAnsi="宋体" w:eastAsia="宋体"/>
          <w:sz w:val="24"/>
        </w:rPr>
      </w:pPr>
      <w:r>
        <w:rPr>
          <w:rFonts w:hint="eastAsia" w:ascii="宋体" w:hAnsi="宋体" w:eastAsia="宋体"/>
          <w:sz w:val="24"/>
        </w:rPr>
        <w:t>7.李某、付某、宜宾市某有限公司、绵阳市某有限公司执行异议之诉二审案【案号：(2025)川民终71号】</w:t>
      </w:r>
    </w:p>
    <w:p w14:paraId="73F8951B">
      <w:pPr>
        <w:adjustRightInd w:val="0"/>
        <w:snapToGrid w:val="0"/>
        <w:spacing w:line="360" w:lineRule="auto"/>
        <w:ind w:firstLine="480" w:firstLineChars="200"/>
        <w:rPr>
          <w:rFonts w:ascii="宋体" w:hAnsi="宋体" w:eastAsia="宋体"/>
          <w:sz w:val="24"/>
        </w:rPr>
      </w:pPr>
      <w:r>
        <w:rPr>
          <w:rFonts w:hint="eastAsia" w:ascii="宋体" w:hAnsi="宋体" w:eastAsia="宋体"/>
          <w:sz w:val="24"/>
        </w:rPr>
        <w:t>8.卢某与葛某、孚荟德（陕西）企业管理有限公司等执行异议之诉再审案【案号：(2025)陕民申2561号】</w:t>
      </w:r>
    </w:p>
    <w:p w14:paraId="043AE0AE">
      <w:pPr>
        <w:jc w:val="center"/>
        <w:rPr>
          <w:rFonts w:ascii="宋体" w:hAnsi="宋体" w:eastAsia="宋体"/>
          <w:b/>
          <w:bCs/>
          <w:sz w:val="30"/>
          <w:szCs w:val="30"/>
        </w:rPr>
      </w:pPr>
    </w:p>
    <w:p w14:paraId="34594DD2">
      <w:pPr>
        <w:jc w:val="center"/>
        <w:rPr>
          <w:rFonts w:ascii="宋体" w:hAnsi="宋体" w:eastAsia="宋体"/>
          <w:b/>
          <w:bCs/>
          <w:sz w:val="30"/>
          <w:szCs w:val="30"/>
        </w:rPr>
      </w:pPr>
      <w:r>
        <w:rPr>
          <w:rFonts w:hint="eastAsia" w:ascii="宋体" w:hAnsi="宋体" w:eastAsia="宋体"/>
          <w:b/>
          <w:bCs/>
          <w:sz w:val="30"/>
          <w:szCs w:val="30"/>
        </w:rPr>
        <w:t>正 文</w:t>
      </w:r>
    </w:p>
    <w:p w14:paraId="7D5A9AB0">
      <w:pPr>
        <w:spacing w:before="156" w:beforeLines="50" w:after="156" w:afterLines="50" w:line="360" w:lineRule="auto"/>
        <w:ind w:firstLine="561" w:firstLineChars="200"/>
        <w:rPr>
          <w:rFonts w:ascii="宋体" w:hAnsi="宋体" w:eastAsia="宋体"/>
          <w:b/>
          <w:bCs/>
          <w:color w:val="FFFFFF"/>
          <w:sz w:val="28"/>
          <w:szCs w:val="28"/>
          <w:highlight w:val="blue"/>
        </w:rPr>
      </w:pPr>
      <w:r>
        <w:rPr>
          <w:rFonts w:hint="eastAsia" w:ascii="宋体" w:hAnsi="宋体" w:eastAsia="宋体"/>
          <w:b/>
          <w:bCs/>
          <w:color w:val="FFFFFF"/>
          <w:sz w:val="28"/>
          <w:szCs w:val="28"/>
          <w:highlight w:val="blue"/>
        </w:rPr>
        <w:t>一、法规政策总览</w:t>
      </w:r>
    </w:p>
    <w:p w14:paraId="204CAB1E">
      <w:pPr>
        <w:adjustRightInd w:val="0"/>
        <w:snapToGrid w:val="0"/>
        <w:spacing w:line="360" w:lineRule="auto"/>
        <w:ind w:firstLine="480" w:firstLineChars="200"/>
        <w:rPr>
          <w:rFonts w:ascii="宋体" w:hAnsi="宋体" w:eastAsia="宋体"/>
          <w:b/>
          <w:bCs/>
          <w:sz w:val="24"/>
        </w:rPr>
      </w:pPr>
      <w:r>
        <w:rPr>
          <w:rFonts w:hint="eastAsia" w:ascii="宋体" w:hAnsi="宋体" w:eastAsia="宋体"/>
          <w:b/>
          <w:bCs/>
          <w:sz w:val="24"/>
        </w:rPr>
        <w:t>1.2025年9月30日，最高人民法院发布《最高人民法院关于适用〈中华人民共和国公司法〉若干问题的解释（征求意见稿）》向社会公开征求意见</w:t>
      </w:r>
    </w:p>
    <w:p w14:paraId="02EF7E74">
      <w:pPr>
        <w:adjustRightInd w:val="0"/>
        <w:snapToGrid w:val="0"/>
        <w:spacing w:line="360" w:lineRule="auto"/>
        <w:ind w:firstLine="480" w:firstLineChars="200"/>
        <w:rPr>
          <w:rFonts w:ascii="宋体" w:hAnsi="宋体" w:eastAsia="宋体"/>
          <w:b/>
          <w:bCs/>
          <w:sz w:val="24"/>
        </w:rPr>
      </w:pPr>
      <w:r>
        <w:rPr>
          <w:rFonts w:hint="eastAsia" w:ascii="宋体" w:hAnsi="宋体" w:eastAsia="宋体"/>
          <w:b/>
          <w:bCs/>
          <w:sz w:val="24"/>
        </w:rPr>
        <w:t>要点提示：</w:t>
      </w:r>
    </w:p>
    <w:p w14:paraId="26ABDBF4">
      <w:pPr>
        <w:adjustRightInd w:val="0"/>
        <w:snapToGrid w:val="0"/>
        <w:spacing w:line="360" w:lineRule="auto"/>
        <w:ind w:firstLine="480" w:firstLineChars="200"/>
        <w:rPr>
          <w:rFonts w:ascii="宋体" w:hAnsi="宋体" w:eastAsia="宋体"/>
          <w:sz w:val="24"/>
        </w:rPr>
      </w:pPr>
      <w:r>
        <w:rPr>
          <w:rFonts w:ascii="宋体" w:hAnsi="宋体" w:eastAsia="宋体"/>
          <w:sz w:val="24"/>
        </w:rPr>
        <w:t>第二条【公司对外担保】</w:t>
      </w:r>
    </w:p>
    <w:p w14:paraId="4D3CDFCF">
      <w:pPr>
        <w:adjustRightInd w:val="0"/>
        <w:snapToGrid w:val="0"/>
        <w:spacing w:line="360" w:lineRule="auto"/>
        <w:ind w:firstLine="480" w:firstLineChars="200"/>
        <w:rPr>
          <w:rFonts w:ascii="宋体" w:hAnsi="宋体" w:eastAsia="宋体"/>
          <w:sz w:val="24"/>
        </w:rPr>
      </w:pPr>
      <w:r>
        <w:rPr>
          <w:rFonts w:ascii="宋体" w:hAnsi="宋体" w:eastAsia="宋体"/>
          <w:sz w:val="24"/>
        </w:rPr>
        <w:t>公司为其控股股东或者实际控制人直接或者间接控制的公司提供担保，参照适用公司法第十五条关于公司对外提供关联担保的规定，但是相对人在订立担保合同时经合理审查后仍不知道前述控制关系的除外。</w:t>
      </w:r>
    </w:p>
    <w:p w14:paraId="0BAB17CC">
      <w:pPr>
        <w:adjustRightInd w:val="0"/>
        <w:snapToGrid w:val="0"/>
        <w:spacing w:line="360" w:lineRule="auto"/>
        <w:ind w:firstLine="480" w:firstLineChars="200"/>
        <w:rPr>
          <w:rFonts w:ascii="宋体" w:hAnsi="宋体" w:eastAsia="宋体"/>
          <w:sz w:val="24"/>
        </w:rPr>
      </w:pPr>
      <w:r>
        <w:rPr>
          <w:rFonts w:ascii="宋体" w:hAnsi="宋体" w:eastAsia="宋体"/>
          <w:sz w:val="24"/>
        </w:rPr>
        <w:t>有限责任公司为他人取得本公司或者其母公司的股权提供担保的，参照适用公司法第十五条关于公司对外提供关联担保的规定。</w:t>
      </w:r>
    </w:p>
    <w:p w14:paraId="651A8198">
      <w:pPr>
        <w:adjustRightInd w:val="0"/>
        <w:snapToGrid w:val="0"/>
        <w:spacing w:line="360" w:lineRule="auto"/>
        <w:ind w:firstLine="480" w:firstLineChars="200"/>
        <w:rPr>
          <w:rFonts w:ascii="宋体" w:hAnsi="宋体" w:eastAsia="宋体"/>
          <w:sz w:val="24"/>
        </w:rPr>
      </w:pPr>
      <w:r>
        <w:rPr>
          <w:rFonts w:ascii="宋体" w:hAnsi="宋体" w:eastAsia="宋体"/>
          <w:sz w:val="24"/>
        </w:rPr>
        <w:t>第三条【关联交易】</w:t>
      </w:r>
    </w:p>
    <w:p w14:paraId="13E666B4">
      <w:pPr>
        <w:adjustRightInd w:val="0"/>
        <w:snapToGrid w:val="0"/>
        <w:spacing w:line="360" w:lineRule="auto"/>
        <w:ind w:firstLine="480" w:firstLineChars="200"/>
        <w:rPr>
          <w:rFonts w:ascii="宋体" w:hAnsi="宋体" w:eastAsia="宋体"/>
          <w:sz w:val="24"/>
        </w:rPr>
      </w:pPr>
      <w:r>
        <w:rPr>
          <w:rFonts w:ascii="宋体" w:hAnsi="宋体" w:eastAsia="宋体"/>
          <w:sz w:val="24"/>
        </w:rPr>
        <w:t>董事、监事、高级管理人员以及与其有关联关系的关联人，未经法定的报告或者公司决议程序，直接或者间接与本公司进行关联交易，公司请求确认该交易对其不发生效力的，人民法院应予支持。当事人请求返还财产或者赔偿损失的，按照《最高人民法院关于适用〈中华人民共和国民法典〉合同编通则部分的解释》第二十四条、第二十五条等规定处理。</w:t>
      </w:r>
    </w:p>
    <w:p w14:paraId="387B6943">
      <w:pPr>
        <w:adjustRightInd w:val="0"/>
        <w:snapToGrid w:val="0"/>
        <w:spacing w:line="360" w:lineRule="auto"/>
        <w:ind w:firstLine="480" w:firstLineChars="200"/>
        <w:rPr>
          <w:rFonts w:ascii="宋体" w:hAnsi="宋体" w:eastAsia="宋体"/>
          <w:sz w:val="24"/>
        </w:rPr>
      </w:pPr>
      <w:r>
        <w:rPr>
          <w:rFonts w:ascii="宋体" w:hAnsi="宋体" w:eastAsia="宋体"/>
          <w:sz w:val="24"/>
        </w:rPr>
        <w:t>关联交易存在无效、效力待定、可撤销或者对公司不发生效力等事由，公司没有提起诉讼，符合条件的股东依法提起股东代表诉讼的，人民法院应予受理。</w:t>
      </w:r>
    </w:p>
    <w:p w14:paraId="1A245FD4">
      <w:pPr>
        <w:adjustRightInd w:val="0"/>
        <w:snapToGrid w:val="0"/>
        <w:spacing w:line="360" w:lineRule="auto"/>
        <w:ind w:firstLine="480" w:firstLineChars="200"/>
        <w:rPr>
          <w:rFonts w:ascii="宋体" w:hAnsi="宋体" w:eastAsia="宋体"/>
          <w:sz w:val="24"/>
        </w:rPr>
      </w:pPr>
      <w:r>
        <w:rPr>
          <w:rFonts w:ascii="宋体" w:hAnsi="宋体" w:eastAsia="宋体"/>
          <w:sz w:val="24"/>
        </w:rPr>
        <w:t>控股股东、实际控制人、董事、监事、高级管理人员从事的关联交易造成公司损失，公司请求其赔偿损失的，人民法院依法应予支持。被告仅以关联交易已经履行了报告、经股东会或者董事会同意等法律、行政法规或者公司章程规定的程序为由提出抗辩的，人民法院不予支持。</w:t>
      </w:r>
    </w:p>
    <w:p w14:paraId="07058295">
      <w:pPr>
        <w:adjustRightInd w:val="0"/>
        <w:snapToGrid w:val="0"/>
        <w:spacing w:line="360" w:lineRule="auto"/>
        <w:ind w:firstLine="480" w:firstLineChars="200"/>
        <w:rPr>
          <w:rFonts w:ascii="宋体" w:hAnsi="宋体" w:eastAsia="宋体"/>
          <w:sz w:val="24"/>
        </w:rPr>
      </w:pPr>
      <w:r>
        <w:rPr>
          <w:rFonts w:ascii="宋体" w:hAnsi="宋体" w:eastAsia="宋体"/>
          <w:sz w:val="24"/>
        </w:rPr>
        <w:t>第四条【公司人格否认及其认定】</w:t>
      </w:r>
    </w:p>
    <w:p w14:paraId="6666825E">
      <w:pPr>
        <w:adjustRightInd w:val="0"/>
        <w:snapToGrid w:val="0"/>
        <w:spacing w:line="360" w:lineRule="auto"/>
        <w:ind w:firstLine="480" w:firstLineChars="200"/>
        <w:rPr>
          <w:rFonts w:ascii="宋体" w:hAnsi="宋体" w:eastAsia="宋体"/>
          <w:sz w:val="24"/>
        </w:rPr>
      </w:pPr>
      <w:r>
        <w:rPr>
          <w:rFonts w:ascii="宋体" w:hAnsi="宋体" w:eastAsia="宋体"/>
          <w:sz w:val="24"/>
        </w:rPr>
        <w:t>股东滥用法人独立地位和股东有限责任，通过过度控制公司、与公司财产混同以及投入公司的资本显著不足等方式，严重损害公司债权人利益，公司债权人请求该股东对公司债务承担连带责任的，人民法院应予支持。</w:t>
      </w:r>
    </w:p>
    <w:p w14:paraId="030CF288">
      <w:pPr>
        <w:spacing w:before="156" w:beforeLines="50" w:after="156" w:afterLines="50" w:line="360" w:lineRule="auto"/>
        <w:ind w:firstLine="480" w:firstLineChars="200"/>
        <w:rPr>
          <w:rFonts w:ascii="宋体" w:hAnsi="宋体" w:eastAsia="宋体"/>
          <w:sz w:val="24"/>
        </w:rPr>
      </w:pPr>
      <w:r>
        <w:rPr>
          <w:rFonts w:ascii="宋体" w:hAnsi="宋体" w:eastAsia="宋体"/>
          <w:sz w:val="24"/>
        </w:rPr>
        <w:t>认定控股股东过度控制公司，要综合考量以下因素：一是数个公司都受同一控股股东的控制，相关公司自身丧失独立意志；二是数个公司之间进行不当利益输送；三是不当利益输送行为意在逃避公司债务。</w:t>
      </w:r>
    </w:p>
    <w:p w14:paraId="07A7701A">
      <w:pPr>
        <w:spacing w:before="156" w:beforeLines="50" w:after="156" w:afterLines="50" w:line="360" w:lineRule="auto"/>
        <w:ind w:firstLine="480" w:firstLineChars="200"/>
        <w:rPr>
          <w:rFonts w:ascii="宋体" w:hAnsi="宋体" w:eastAsia="宋体"/>
          <w:sz w:val="24"/>
        </w:rPr>
      </w:pPr>
      <w:r>
        <w:rPr>
          <w:rFonts w:ascii="宋体" w:hAnsi="宋体" w:eastAsia="宋体"/>
          <w:sz w:val="24"/>
        </w:rPr>
        <w:t>认定股东与公司的财产是否混同，要综合考量以下因素：一是股东财产能否与公司财产进行区分，主要看是否作了财务记载；二是股东是否无偿使用甚至侵占了公司财产；三是是否存在人员混同、业务混同、住所混同等情形。必要时，人民法院可以根据当事人的申请，通过委托审计等方式认定是否构成财产混同。</w:t>
      </w:r>
    </w:p>
    <w:p w14:paraId="5B2C9D47">
      <w:pPr>
        <w:spacing w:before="156" w:beforeLines="50" w:after="156" w:afterLines="50" w:line="360" w:lineRule="auto"/>
        <w:ind w:firstLine="480" w:firstLineChars="200"/>
        <w:rPr>
          <w:rFonts w:ascii="宋体" w:hAnsi="宋体" w:eastAsia="宋体"/>
          <w:sz w:val="24"/>
        </w:rPr>
      </w:pPr>
      <w:r>
        <w:rPr>
          <w:rFonts w:ascii="宋体" w:hAnsi="宋体" w:eastAsia="宋体"/>
          <w:sz w:val="24"/>
        </w:rPr>
        <w:t>认定股东投入公司的资本是否显著不足，要综合考量以下因素：一是股东实际投入公司的资本是否与公司经营所隐含的风险明显不相匹配；二是股东是否存在使公司过度举债、恶意举债等方式，把投资风险转嫁给债权人的恶意。</w:t>
      </w:r>
    </w:p>
    <w:p w14:paraId="1563BC93">
      <w:pPr>
        <w:spacing w:before="156" w:beforeLines="50" w:after="156" w:afterLines="50" w:line="360" w:lineRule="auto"/>
        <w:ind w:firstLine="480" w:firstLineChars="200"/>
        <w:rPr>
          <w:rFonts w:ascii="宋体" w:hAnsi="宋体" w:eastAsia="宋体"/>
          <w:b/>
          <w:bCs/>
          <w:sz w:val="24"/>
        </w:rPr>
      </w:pPr>
      <w:r>
        <w:rPr>
          <w:rFonts w:hint="eastAsia" w:ascii="宋体" w:hAnsi="宋体" w:eastAsia="宋体"/>
          <w:b/>
          <w:bCs/>
          <w:sz w:val="24"/>
        </w:rPr>
        <w:t>2.2025年10月9日，财政部,国家税务总局共同发布《企业兼并重组主要税收优惠政策指引》（2025年10月9日起施行）</w:t>
      </w:r>
    </w:p>
    <w:p w14:paraId="76089D6B">
      <w:pPr>
        <w:spacing w:before="156" w:beforeLines="50" w:after="156" w:afterLines="50" w:line="360" w:lineRule="auto"/>
        <w:ind w:firstLine="480" w:firstLineChars="200"/>
        <w:rPr>
          <w:rFonts w:ascii="宋体" w:hAnsi="宋体" w:eastAsia="宋体"/>
          <w:b/>
          <w:bCs/>
          <w:sz w:val="24"/>
        </w:rPr>
      </w:pPr>
      <w:r>
        <w:rPr>
          <w:rFonts w:hint="eastAsia" w:ascii="宋体" w:hAnsi="宋体" w:eastAsia="宋体"/>
          <w:b/>
          <w:bCs/>
          <w:sz w:val="24"/>
        </w:rPr>
        <w:t>要点提示：</w:t>
      </w:r>
    </w:p>
    <w:p w14:paraId="7BFA1722">
      <w:pPr>
        <w:spacing w:before="156" w:beforeLines="50" w:after="156" w:afterLines="50" w:line="360" w:lineRule="auto"/>
        <w:ind w:firstLine="480" w:firstLineChars="200"/>
        <w:rPr>
          <w:rFonts w:ascii="宋体" w:hAnsi="宋体" w:eastAsia="宋体"/>
          <w:sz w:val="24"/>
        </w:rPr>
      </w:pPr>
      <w:r>
        <w:rPr>
          <w:rFonts w:hint="eastAsia" w:ascii="宋体" w:hAnsi="宋体" w:eastAsia="宋体"/>
          <w:sz w:val="24"/>
        </w:rPr>
        <w:t>为引导企业正确适用兼并重组税收政策，降低企业税收遵从成本，财政部会同税务总局等部门坚持问题导向，编写了《企业兼并重组主要税收优惠政策指引》（以下简称《指引》），对现行有效的支持企业兼并重组主要税收优惠政策和税收征管文件进行了梳理，并按照企业兼并重组的类型，分门别类明确了适用主体、适用情形、政策内容、执行要求及政策依据等内容，还一并附有具体税收政策文件和征管文件汇编，力求为纳税人提供简明易行、获得感强的操作指南。为帮助企业用足用好相关政策，请各级财税部门进一步做好宣传培训和政策解读工作，加强与相关部门协同配合，确保政策切实落实到位，持续激发市场主体活力。</w:t>
      </w:r>
    </w:p>
    <w:p w14:paraId="655B7E43">
      <w:pPr>
        <w:spacing w:before="156" w:beforeLines="50" w:after="156" w:afterLines="50" w:line="360" w:lineRule="auto"/>
        <w:ind w:firstLine="480" w:firstLineChars="200"/>
        <w:rPr>
          <w:rFonts w:ascii="宋体" w:hAnsi="宋体" w:eastAsia="宋体"/>
          <w:b/>
          <w:bCs/>
          <w:sz w:val="24"/>
        </w:rPr>
      </w:pPr>
      <w:r>
        <w:rPr>
          <w:rFonts w:hint="eastAsia" w:ascii="宋体" w:hAnsi="宋体" w:eastAsia="宋体"/>
          <w:b/>
          <w:bCs/>
          <w:sz w:val="24"/>
        </w:rPr>
        <w:t>3.2025年10月9日，财政部发布《金融机构国有股权董事议案审议操作指引（2025年修订版）》（2025年11月9日起施行）</w:t>
      </w:r>
    </w:p>
    <w:p w14:paraId="39878A44">
      <w:pPr>
        <w:spacing w:before="156" w:beforeLines="50" w:after="156" w:afterLines="50" w:line="360" w:lineRule="auto"/>
        <w:ind w:firstLine="480" w:firstLineChars="200"/>
        <w:rPr>
          <w:rFonts w:ascii="宋体" w:hAnsi="宋体" w:eastAsia="宋体"/>
          <w:b/>
          <w:bCs/>
          <w:sz w:val="24"/>
        </w:rPr>
      </w:pPr>
      <w:r>
        <w:rPr>
          <w:rFonts w:hint="eastAsia" w:ascii="宋体" w:hAnsi="宋体" w:eastAsia="宋体"/>
          <w:b/>
          <w:bCs/>
          <w:sz w:val="24"/>
        </w:rPr>
        <w:t>要点提示：</w:t>
      </w:r>
    </w:p>
    <w:p w14:paraId="090EA543">
      <w:pPr>
        <w:spacing w:before="156" w:beforeLines="50" w:after="156" w:afterLines="50" w:line="360" w:lineRule="auto"/>
        <w:ind w:firstLine="480" w:firstLineChars="200"/>
        <w:rPr>
          <w:rFonts w:ascii="宋体" w:hAnsi="宋体" w:eastAsia="宋体"/>
          <w:sz w:val="24"/>
        </w:rPr>
      </w:pPr>
      <w:r>
        <w:rPr>
          <w:rFonts w:ascii="宋体" w:hAnsi="宋体" w:eastAsia="宋体"/>
          <w:sz w:val="24"/>
        </w:rPr>
        <w:t>第二章 股权董事议案审议职责及审议意见内容</w:t>
      </w:r>
    </w:p>
    <w:p w14:paraId="22C3E7D7">
      <w:pPr>
        <w:spacing w:before="156" w:beforeLines="50" w:after="156" w:afterLines="50" w:line="360" w:lineRule="auto"/>
        <w:ind w:firstLine="480" w:firstLineChars="200"/>
        <w:rPr>
          <w:rFonts w:ascii="宋体" w:hAnsi="宋体" w:eastAsia="宋体"/>
          <w:sz w:val="24"/>
        </w:rPr>
      </w:pPr>
      <w:r>
        <w:rPr>
          <w:rFonts w:ascii="宋体" w:hAnsi="宋体" w:eastAsia="宋体"/>
          <w:sz w:val="24"/>
        </w:rPr>
        <w:t>第七条</w:t>
      </w:r>
      <w:r>
        <w:rPr>
          <w:rFonts w:hint="eastAsia" w:ascii="宋体" w:hAnsi="宋体" w:eastAsia="宋体"/>
          <w:sz w:val="24"/>
        </w:rPr>
        <w:t xml:space="preserve"> </w:t>
      </w:r>
      <w:r>
        <w:rPr>
          <w:rFonts w:ascii="宋体" w:hAnsi="宋体" w:eastAsia="宋体"/>
          <w:sz w:val="24"/>
        </w:rPr>
        <w:t>股权董事依法履行以下议案审议职责：</w:t>
      </w:r>
    </w:p>
    <w:p w14:paraId="3F4507BC">
      <w:pPr>
        <w:spacing w:before="156" w:beforeLines="50" w:after="156" w:afterLines="50" w:line="360" w:lineRule="auto"/>
        <w:ind w:firstLine="480" w:firstLineChars="200"/>
        <w:rPr>
          <w:rFonts w:ascii="宋体" w:hAnsi="宋体" w:eastAsia="宋体"/>
          <w:sz w:val="24"/>
        </w:rPr>
      </w:pPr>
      <w:r>
        <w:rPr>
          <w:rFonts w:ascii="宋体" w:hAnsi="宋体" w:eastAsia="宋体"/>
          <w:sz w:val="24"/>
        </w:rPr>
        <w:t>（一）严格遵守国家各项法律法规、派出机构有关规章制度，以及派往金融机构的公司章程、董事会议事规则等规定，依法合规、忠实勤勉地履行董事会议案审议等相关工作职责；</w:t>
      </w:r>
    </w:p>
    <w:p w14:paraId="31F065BB">
      <w:pPr>
        <w:spacing w:before="156" w:beforeLines="50" w:after="156" w:afterLines="50" w:line="360" w:lineRule="auto"/>
        <w:ind w:firstLine="480" w:firstLineChars="200"/>
        <w:rPr>
          <w:rFonts w:ascii="宋体" w:hAnsi="宋体" w:eastAsia="宋体"/>
          <w:sz w:val="24"/>
        </w:rPr>
      </w:pPr>
      <w:r>
        <w:rPr>
          <w:rFonts w:ascii="宋体" w:hAnsi="宋体" w:eastAsia="宋体"/>
          <w:sz w:val="24"/>
        </w:rPr>
        <w:t>（二）全面了解议案背景与内容，通过调研，调阅财务报表和相关会议纪要等资料，询问派往金融机构管理层、相关业务部门和会计师事务所等有关中介机构，列席或参加相关党委（党组）会、董事会专门委员会会议、议案沟通会、董事例会等方式全面了解议案背景、机构考虑、前期工作情况，督促派往金融机构提高议案质量，确保议案文本内容的完整性、准确性，做到背景清晰、内容真实、逻辑严谨、论证充分、数据准确、要件齐全，提醒派往金融机构严格履行相关程序、遵守时间要求，及时提交议案；</w:t>
      </w:r>
    </w:p>
    <w:p w14:paraId="489FB5FF">
      <w:pPr>
        <w:spacing w:before="156" w:beforeLines="50" w:after="156" w:afterLines="50" w:line="360" w:lineRule="auto"/>
        <w:ind w:firstLine="480" w:firstLineChars="200"/>
        <w:rPr>
          <w:rFonts w:ascii="宋体" w:hAnsi="宋体" w:eastAsia="宋体"/>
          <w:sz w:val="24"/>
        </w:rPr>
      </w:pPr>
      <w:r>
        <w:rPr>
          <w:rFonts w:ascii="宋体" w:hAnsi="宋体" w:eastAsia="宋体"/>
          <w:sz w:val="24"/>
        </w:rPr>
        <w:t>（三）深入研究议案，准确把握议案是否符合国家相关法律法规、金融监管要求、国有金融资本管理制度及行业政策，全面了解议案对国有出资人权益的影响程度和风险状况，深入分析议案的可行性和对派往金融机构战略和经营计划的综合影响，根据国家相关法律法规、金融监管政策、国有金融资本管理制度及派出机构有关要求，以防范金融风险、保护国有金融资产安全、维护国有出资人合法权益及派往金融机构整体利益为原则，对议案进行认真研究并提出审议意见；</w:t>
      </w:r>
    </w:p>
    <w:p w14:paraId="05B20E3F">
      <w:pPr>
        <w:spacing w:before="156" w:beforeLines="50" w:after="156" w:afterLines="50" w:line="360" w:lineRule="auto"/>
        <w:ind w:firstLine="480" w:firstLineChars="200"/>
        <w:rPr>
          <w:rFonts w:ascii="宋体" w:hAnsi="宋体" w:eastAsia="宋体"/>
          <w:sz w:val="24"/>
        </w:rPr>
      </w:pPr>
      <w:r>
        <w:rPr>
          <w:rFonts w:ascii="宋体" w:hAnsi="宋体" w:eastAsia="宋体"/>
          <w:sz w:val="24"/>
        </w:rPr>
        <w:t>（四）按照本指引要求与派出机构做好沟通，及时将董事会会议通知、董事会议案及审议意见以书面形式报送派出机构，并加强与派出机构的联系和沟通；</w:t>
      </w:r>
    </w:p>
    <w:p w14:paraId="311D5473">
      <w:pPr>
        <w:spacing w:before="156" w:beforeLines="50" w:after="156" w:afterLines="50" w:line="360" w:lineRule="auto"/>
        <w:ind w:firstLine="480" w:firstLineChars="200"/>
        <w:rPr>
          <w:rFonts w:ascii="宋体" w:hAnsi="宋体" w:eastAsia="宋体"/>
          <w:sz w:val="24"/>
        </w:rPr>
      </w:pPr>
      <w:r>
        <w:rPr>
          <w:rFonts w:ascii="宋体" w:hAnsi="宋体" w:eastAsia="宋体"/>
          <w:sz w:val="24"/>
        </w:rPr>
        <w:t>（五）根据派往金融机构章程和相关议事规则，按照本指引规定的议案审议要求，在董事会或其专门委员会会议上独立、专业、客观地发表意见；</w:t>
      </w:r>
    </w:p>
    <w:p w14:paraId="21D55569">
      <w:pPr>
        <w:spacing w:before="156" w:beforeLines="50" w:after="156" w:afterLines="50" w:line="360" w:lineRule="auto"/>
        <w:ind w:firstLine="480" w:firstLineChars="200"/>
        <w:rPr>
          <w:rFonts w:ascii="宋体" w:hAnsi="宋体" w:eastAsia="宋体"/>
          <w:sz w:val="24"/>
        </w:rPr>
      </w:pPr>
      <w:r>
        <w:rPr>
          <w:rFonts w:ascii="宋体" w:hAnsi="宋体" w:eastAsia="宋体"/>
          <w:sz w:val="24"/>
        </w:rPr>
        <w:t>（六）派出机构赋予的其他职责。</w:t>
      </w:r>
    </w:p>
    <w:p w14:paraId="1C2D766B">
      <w:pPr>
        <w:spacing w:before="156" w:beforeLines="50" w:after="156" w:afterLines="50" w:line="360" w:lineRule="auto"/>
        <w:ind w:firstLine="480" w:firstLineChars="200"/>
        <w:rPr>
          <w:rFonts w:ascii="宋体" w:hAnsi="宋体" w:eastAsia="宋体"/>
          <w:sz w:val="24"/>
        </w:rPr>
      </w:pPr>
      <w:r>
        <w:rPr>
          <w:rFonts w:ascii="宋体" w:hAnsi="宋体" w:eastAsia="宋体"/>
          <w:sz w:val="24"/>
        </w:rPr>
        <w:t>第八条</w:t>
      </w:r>
      <w:r>
        <w:rPr>
          <w:rFonts w:hint="eastAsia" w:ascii="宋体" w:hAnsi="宋体" w:eastAsia="宋体"/>
          <w:sz w:val="24"/>
        </w:rPr>
        <w:t xml:space="preserve"> </w:t>
      </w:r>
      <w:r>
        <w:rPr>
          <w:rFonts w:ascii="宋体" w:hAnsi="宋体" w:eastAsia="宋体"/>
          <w:sz w:val="24"/>
        </w:rPr>
        <w:t>股权董事应对董事会决议的落实情况进行跟踪监督，督促派往金融机构严格落实董事会决议要求，对于落实过程中发现的重大问题，以及有关事项未经董事会同意发生重大变更等情况，应督促派往金融机构认真整改。</w:t>
      </w:r>
    </w:p>
    <w:p w14:paraId="4359F073">
      <w:pPr>
        <w:spacing w:before="156" w:beforeLines="50" w:after="156" w:afterLines="50" w:line="360" w:lineRule="auto"/>
        <w:ind w:firstLine="480" w:firstLineChars="200"/>
        <w:rPr>
          <w:rFonts w:ascii="宋体" w:hAnsi="宋体" w:eastAsia="宋体"/>
          <w:sz w:val="24"/>
        </w:rPr>
      </w:pPr>
      <w:r>
        <w:rPr>
          <w:rFonts w:ascii="宋体" w:hAnsi="宋体" w:eastAsia="宋体"/>
          <w:sz w:val="24"/>
        </w:rPr>
        <w:t>第九条</w:t>
      </w:r>
      <w:r>
        <w:rPr>
          <w:rFonts w:hint="eastAsia" w:ascii="宋体" w:hAnsi="宋体" w:eastAsia="宋体"/>
          <w:sz w:val="24"/>
        </w:rPr>
        <w:t xml:space="preserve"> </w:t>
      </w:r>
      <w:r>
        <w:rPr>
          <w:rFonts w:ascii="宋体" w:hAnsi="宋体" w:eastAsia="宋体"/>
          <w:sz w:val="24"/>
        </w:rPr>
        <w:t>股权董事向派出机构报送的议案审议意见应当包括以下内容：</w:t>
      </w:r>
    </w:p>
    <w:p w14:paraId="479B79B7">
      <w:pPr>
        <w:spacing w:before="156" w:beforeLines="50" w:after="156" w:afterLines="50" w:line="360" w:lineRule="auto"/>
        <w:ind w:firstLine="480" w:firstLineChars="200"/>
        <w:rPr>
          <w:rFonts w:ascii="宋体" w:hAnsi="宋体" w:eastAsia="宋体"/>
          <w:sz w:val="24"/>
        </w:rPr>
      </w:pPr>
      <w:r>
        <w:rPr>
          <w:rFonts w:ascii="宋体" w:hAnsi="宋体" w:eastAsia="宋体"/>
          <w:sz w:val="24"/>
        </w:rPr>
        <w:t>（一）议案的主要内容，包括背景情况、议案涉及需决策事项、合规性评价，如议案涉及经营决策事项，审议意见还需包括必要性论证、可行性分析、重大风险分析论证及应对预案等；</w:t>
      </w:r>
    </w:p>
    <w:p w14:paraId="63D28F9E">
      <w:pPr>
        <w:spacing w:before="156" w:beforeLines="50" w:after="156" w:afterLines="50" w:line="360" w:lineRule="auto"/>
        <w:ind w:firstLine="480" w:firstLineChars="200"/>
        <w:rPr>
          <w:rFonts w:ascii="宋体" w:hAnsi="宋体" w:eastAsia="宋体"/>
          <w:sz w:val="24"/>
        </w:rPr>
      </w:pPr>
      <w:r>
        <w:rPr>
          <w:rFonts w:ascii="宋体" w:hAnsi="宋体" w:eastAsia="宋体"/>
          <w:sz w:val="24"/>
        </w:rPr>
        <w:t>（二）议案的上会依据，包括议案在派往金融机构内部的决策过程、前期审议情况，是否符合派往金融机构授权管理相关规定等；</w:t>
      </w:r>
    </w:p>
    <w:p w14:paraId="5C56EF31">
      <w:pPr>
        <w:spacing w:before="156" w:beforeLines="50" w:after="156" w:afterLines="50" w:line="360" w:lineRule="auto"/>
        <w:ind w:firstLine="480" w:firstLineChars="200"/>
        <w:rPr>
          <w:rFonts w:ascii="宋体" w:hAnsi="宋体" w:eastAsia="宋体"/>
          <w:sz w:val="24"/>
        </w:rPr>
      </w:pPr>
      <w:r>
        <w:rPr>
          <w:rFonts w:ascii="宋体" w:hAnsi="宋体" w:eastAsia="宋体"/>
          <w:sz w:val="24"/>
        </w:rPr>
        <w:t>（三）股权董事与派往金融机构的沟通情况，包括议案沟通过程中或董事会专门委员会审议时，有关方面的意见及采纳情况等；</w:t>
      </w:r>
    </w:p>
    <w:p w14:paraId="1AD16004">
      <w:pPr>
        <w:spacing w:before="156" w:beforeLines="50" w:after="156" w:afterLines="50" w:line="360" w:lineRule="auto"/>
        <w:ind w:firstLine="480" w:firstLineChars="200"/>
        <w:rPr>
          <w:rFonts w:ascii="宋体" w:hAnsi="宋体" w:eastAsia="宋体"/>
          <w:sz w:val="24"/>
        </w:rPr>
      </w:pPr>
      <w:r>
        <w:rPr>
          <w:rFonts w:ascii="宋体" w:hAnsi="宋体" w:eastAsia="宋体"/>
          <w:sz w:val="24"/>
        </w:rPr>
        <w:t>（四）股权董事对议案的研究情况，包括审议意见及主要理由，拟在董事会会议上发表的意见，包括是否同意、拟提出的风险提示及工作要求等；</w:t>
      </w:r>
    </w:p>
    <w:p w14:paraId="77658F3D">
      <w:pPr>
        <w:spacing w:before="156" w:beforeLines="50" w:after="156" w:afterLines="50" w:line="360" w:lineRule="auto"/>
        <w:ind w:firstLine="480" w:firstLineChars="200"/>
        <w:rPr>
          <w:rFonts w:ascii="宋体" w:hAnsi="宋体" w:eastAsia="宋体"/>
          <w:sz w:val="24"/>
        </w:rPr>
      </w:pPr>
      <w:r>
        <w:rPr>
          <w:rFonts w:ascii="宋体" w:hAnsi="宋体" w:eastAsia="宋体"/>
          <w:sz w:val="24"/>
        </w:rPr>
        <w:t>（五）其他需要说明的事项；</w:t>
      </w:r>
    </w:p>
    <w:p w14:paraId="16917DA6">
      <w:pPr>
        <w:spacing w:before="156" w:beforeLines="50" w:after="156" w:afterLines="50" w:line="360" w:lineRule="auto"/>
        <w:ind w:firstLine="480" w:firstLineChars="200"/>
        <w:rPr>
          <w:rFonts w:ascii="宋体" w:hAnsi="宋体" w:eastAsia="宋体"/>
          <w:sz w:val="24"/>
        </w:rPr>
      </w:pPr>
      <w:r>
        <w:rPr>
          <w:rFonts w:ascii="宋体" w:hAnsi="宋体" w:eastAsia="宋体"/>
          <w:sz w:val="24"/>
        </w:rPr>
        <w:t>（六）股权董事签名及签署日期。</w:t>
      </w:r>
    </w:p>
    <w:p w14:paraId="5CC81875">
      <w:pPr>
        <w:spacing w:before="156" w:beforeLines="50" w:after="156" w:afterLines="50" w:line="360" w:lineRule="auto"/>
        <w:ind w:firstLine="480" w:firstLineChars="200"/>
        <w:rPr>
          <w:rFonts w:ascii="宋体" w:hAnsi="宋体" w:eastAsia="宋体"/>
          <w:b/>
          <w:bCs/>
          <w:sz w:val="24"/>
        </w:rPr>
      </w:pPr>
      <w:r>
        <w:rPr>
          <w:rFonts w:hint="eastAsia" w:ascii="宋体" w:hAnsi="宋体" w:eastAsia="宋体"/>
          <w:b/>
          <w:bCs/>
          <w:sz w:val="24"/>
        </w:rPr>
        <w:t>4.2025年10月16日，中国证券监督管理委员会发布《上市公司治理准则》（2026年1月1日起施行）</w:t>
      </w:r>
    </w:p>
    <w:p w14:paraId="49CF895F">
      <w:pPr>
        <w:spacing w:before="156" w:beforeLines="50" w:after="156" w:afterLines="50" w:line="360" w:lineRule="auto"/>
        <w:ind w:firstLine="480" w:firstLineChars="200"/>
        <w:rPr>
          <w:rFonts w:ascii="宋体" w:hAnsi="宋体" w:eastAsia="宋体"/>
          <w:b/>
          <w:bCs/>
          <w:sz w:val="24"/>
        </w:rPr>
      </w:pPr>
      <w:r>
        <w:rPr>
          <w:rFonts w:hint="eastAsia" w:ascii="宋体" w:hAnsi="宋体" w:eastAsia="宋体"/>
          <w:b/>
          <w:bCs/>
          <w:sz w:val="24"/>
        </w:rPr>
        <w:t>要点提示：</w:t>
      </w:r>
    </w:p>
    <w:p w14:paraId="6816D7F8">
      <w:pPr>
        <w:spacing w:before="156" w:beforeLines="50" w:after="156" w:afterLines="50" w:line="360" w:lineRule="auto"/>
        <w:ind w:firstLine="480" w:firstLineChars="200"/>
        <w:rPr>
          <w:rFonts w:ascii="宋体" w:hAnsi="宋体" w:eastAsia="宋体"/>
          <w:sz w:val="24"/>
        </w:rPr>
      </w:pPr>
      <w:r>
        <w:rPr>
          <w:rFonts w:ascii="宋体" w:hAnsi="宋体" w:eastAsia="宋体"/>
          <w:sz w:val="24"/>
        </w:rPr>
        <w:t>（一）完善董事、高级管理人员任职、履职和离职管理制度。一是明确董事、高级管理人员的任职资格以及董事会提名委员会的审核责任，防范不适格主体任职。二是细化董事、高级管理人员的忠实勤勉义务。强化董事、高级管理人员从事同业竞争、利用公司商业机会等行为的披露要求，要求董事作出决策前充分收集信息、谨慎判断。三是强化对董事、高管离职的管理，要求上市公司在聘任董事、高级管理人员时对离职后的追责追偿做出安排，在董事、高级管理人员离职时对其未尽义务做好审查。</w:t>
      </w:r>
    </w:p>
    <w:p w14:paraId="35C08D01">
      <w:pPr>
        <w:spacing w:before="156" w:beforeLines="50" w:after="156" w:afterLines="50" w:line="360" w:lineRule="auto"/>
        <w:ind w:firstLine="480" w:firstLineChars="200"/>
        <w:rPr>
          <w:rFonts w:ascii="宋体" w:hAnsi="宋体" w:eastAsia="宋体"/>
          <w:sz w:val="24"/>
        </w:rPr>
      </w:pPr>
      <w:r>
        <w:rPr>
          <w:rFonts w:ascii="宋体" w:hAnsi="宋体" w:eastAsia="宋体"/>
          <w:sz w:val="24"/>
        </w:rPr>
        <w:t>（二）健全上市公司激励约束机制。一是要求上市公司建立薪酬管理制度，合理确定董事、高级管理人员的薪酬结构和水平。二是规定董事、高级管理人员薪酬与公司经营业绩、个人业绩相匹配，激励董事、高级管理人员积极为公司创造价值。三是完善董事、高级管理人员薪酬止付追索等支付机制，鼓励建立递延支付机制。</w:t>
      </w:r>
    </w:p>
    <w:p w14:paraId="0685D58C">
      <w:pPr>
        <w:spacing w:before="156" w:beforeLines="50" w:after="156" w:afterLines="50" w:line="360" w:lineRule="auto"/>
        <w:ind w:firstLine="480" w:firstLineChars="200"/>
        <w:rPr>
          <w:rFonts w:ascii="宋体" w:hAnsi="宋体" w:eastAsia="宋体"/>
          <w:sz w:val="24"/>
        </w:rPr>
      </w:pPr>
      <w:r>
        <w:rPr>
          <w:rFonts w:ascii="宋体" w:hAnsi="宋体" w:eastAsia="宋体"/>
          <w:sz w:val="24"/>
        </w:rPr>
        <w:t>（三）规范控股股东、实际控制人行为。一是严格限制可能对上市公司产生重大不利影响的同业竞争，强化对非重大不利影响同业竞争的披露要求，增强透明度。二是进一步完善董事会对关联交易的识别、审议要求。</w:t>
      </w:r>
    </w:p>
    <w:p w14:paraId="67AF62AA">
      <w:pPr>
        <w:spacing w:before="156" w:beforeLines="50" w:after="156" w:afterLines="50" w:line="360" w:lineRule="auto"/>
        <w:ind w:firstLine="480" w:firstLineChars="200"/>
        <w:rPr>
          <w:rFonts w:ascii="宋体" w:hAnsi="宋体" w:eastAsia="宋体"/>
          <w:sz w:val="24"/>
        </w:rPr>
      </w:pPr>
      <w:r>
        <w:rPr>
          <w:rFonts w:ascii="宋体" w:hAnsi="宋体" w:eastAsia="宋体"/>
          <w:sz w:val="24"/>
        </w:rPr>
        <w:t>（四）做好与现行规则的衔接。根据《证券法》完善公开征集股东权利的规定；根据《上市公司独立董事管理办法》，完善董事会提名委员会、薪酬与考核委员会职责等规定；根据《上市公司信息披露管理办法》，完善自愿性信息披露、发布可持续发展报告等规定。</w:t>
      </w:r>
    </w:p>
    <w:p w14:paraId="17ED53F1">
      <w:pPr>
        <w:spacing w:before="156" w:beforeLines="50" w:after="156" w:afterLines="50" w:line="360" w:lineRule="auto"/>
        <w:ind w:firstLine="480" w:firstLineChars="200"/>
        <w:rPr>
          <w:rFonts w:ascii="宋体" w:hAnsi="宋体" w:eastAsia="宋体"/>
          <w:b/>
          <w:bCs/>
          <w:sz w:val="24"/>
        </w:rPr>
      </w:pPr>
      <w:r>
        <w:rPr>
          <w:rFonts w:hint="eastAsia" w:ascii="宋体" w:hAnsi="宋体" w:eastAsia="宋体"/>
          <w:b/>
          <w:bCs/>
          <w:sz w:val="24"/>
        </w:rPr>
        <w:t>5.2025年10月27日，</w:t>
      </w:r>
      <w:r>
        <w:rPr>
          <w:rFonts w:ascii="宋体" w:hAnsi="宋体" w:eastAsia="宋体"/>
          <w:b/>
          <w:bCs/>
          <w:sz w:val="24"/>
        </w:rPr>
        <w:t>中国证券监督管理委员会</w:t>
      </w:r>
      <w:r>
        <w:rPr>
          <w:rFonts w:hint="eastAsia" w:ascii="宋体" w:hAnsi="宋体" w:eastAsia="宋体"/>
          <w:b/>
          <w:bCs/>
          <w:sz w:val="24"/>
        </w:rPr>
        <w:t>发布</w:t>
      </w:r>
      <w:r>
        <w:rPr>
          <w:rFonts w:ascii="宋体" w:hAnsi="宋体" w:eastAsia="宋体"/>
          <w:b/>
          <w:bCs/>
          <w:sz w:val="24"/>
        </w:rPr>
        <w:t>《</w:t>
      </w:r>
      <w:r>
        <w:rPr>
          <w:rFonts w:hint="eastAsia" w:ascii="宋体" w:hAnsi="宋体" w:eastAsia="宋体"/>
          <w:b/>
          <w:bCs/>
          <w:sz w:val="24"/>
        </w:rPr>
        <w:t>关于加强资本市场中小投资者保护的若干意见</w:t>
      </w:r>
      <w:r>
        <w:rPr>
          <w:rFonts w:ascii="宋体" w:hAnsi="宋体" w:eastAsia="宋体"/>
          <w:b/>
          <w:bCs/>
          <w:sz w:val="24"/>
        </w:rPr>
        <w:t>》</w:t>
      </w:r>
      <w:r>
        <w:rPr>
          <w:rFonts w:hint="eastAsia" w:ascii="宋体" w:hAnsi="宋体" w:eastAsia="宋体"/>
          <w:b/>
          <w:bCs/>
          <w:sz w:val="24"/>
        </w:rPr>
        <w:t>（2025年10月27日</w:t>
      </w:r>
      <w:r>
        <w:rPr>
          <w:rFonts w:ascii="宋体" w:hAnsi="宋体" w:eastAsia="宋体"/>
          <w:b/>
          <w:bCs/>
          <w:sz w:val="24"/>
        </w:rPr>
        <w:t>起施行</w:t>
      </w:r>
      <w:r>
        <w:rPr>
          <w:rFonts w:hint="eastAsia" w:ascii="宋体" w:hAnsi="宋体" w:eastAsia="宋体"/>
          <w:b/>
          <w:bCs/>
          <w:sz w:val="24"/>
        </w:rPr>
        <w:t>）</w:t>
      </w:r>
    </w:p>
    <w:p w14:paraId="6049788C">
      <w:pPr>
        <w:pStyle w:val="11"/>
        <w:spacing w:line="360" w:lineRule="auto"/>
        <w:ind w:firstLine="480" w:firstLineChars="200"/>
        <w:jc w:val="both"/>
        <w:rPr>
          <w:rFonts w:ascii="宋体" w:hAnsi="宋体" w:eastAsia="宋体" w:cs="宋体"/>
          <w:b/>
          <w:bCs/>
        </w:rPr>
      </w:pPr>
      <w:r>
        <w:rPr>
          <w:rFonts w:hint="eastAsia" w:ascii="宋体" w:hAnsi="宋体" w:eastAsia="宋体" w:cs="宋体"/>
          <w:b/>
          <w:bCs/>
        </w:rPr>
        <w:t>要点提示：</w:t>
      </w:r>
    </w:p>
    <w:p w14:paraId="22077798">
      <w:pPr>
        <w:pStyle w:val="11"/>
        <w:spacing w:line="360" w:lineRule="auto"/>
        <w:ind w:firstLine="480" w:firstLineChars="200"/>
        <w:jc w:val="both"/>
        <w:rPr>
          <w:rFonts w:ascii="宋体" w:hAnsi="宋体" w:eastAsia="宋体" w:cs="宋体"/>
          <w:lang w:val="zh-CN"/>
        </w:rPr>
      </w:pPr>
      <w:bookmarkStart w:id="0" w:name="_T1"/>
      <w:bookmarkEnd w:id="0"/>
      <w:r>
        <w:rPr>
          <w:rStyle w:val="12"/>
          <w:rFonts w:ascii="宋体" w:hAnsi="宋体" w:eastAsia="宋体" w:cs="宋体"/>
          <w:lang w:val="zh-CN"/>
        </w:rPr>
        <w:t>一</w:t>
      </w:r>
      <w:bookmarkStart w:id="1" w:name="_T1K1"/>
      <w:bookmarkEnd w:id="1"/>
      <w:r>
        <w:rPr>
          <w:rStyle w:val="13"/>
          <w:rFonts w:ascii="宋体" w:hAnsi="宋体" w:eastAsia="宋体" w:cs="宋体"/>
          <w:lang w:val="zh-CN"/>
        </w:rPr>
        <w:t>、强化发行上市过程中的中小投资者保护</w:t>
      </w:r>
    </w:p>
    <w:p w14:paraId="094DBEA6">
      <w:pPr>
        <w:pStyle w:val="11"/>
        <w:spacing w:line="360" w:lineRule="auto"/>
        <w:ind w:firstLine="480" w:firstLineChars="200"/>
        <w:jc w:val="both"/>
        <w:rPr>
          <w:rFonts w:ascii="宋体" w:hAnsi="宋体" w:eastAsia="宋体" w:cs="宋体"/>
          <w:lang w:val="zh-CN"/>
        </w:rPr>
      </w:pPr>
      <w:bookmarkStart w:id="2" w:name="_D1"/>
      <w:bookmarkEnd w:id="2"/>
      <w:r>
        <w:rPr>
          <w:rFonts w:ascii="宋体" w:hAnsi="宋体" w:eastAsia="宋体" w:cs="宋体"/>
          <w:lang w:val="zh-CN"/>
        </w:rPr>
        <w:t>（一）优化新股发行定价机制。推动形成鼓励长期持有的新股发行网下配售机制，研究试点对锁定比例更高、锁定期更长的网下投资者提高配售比例。</w:t>
      </w:r>
      <w:bookmarkStart w:id="3" w:name="_D2"/>
      <w:bookmarkEnd w:id="3"/>
    </w:p>
    <w:p w14:paraId="1AB9BEB1">
      <w:pPr>
        <w:pStyle w:val="11"/>
        <w:spacing w:line="360" w:lineRule="auto"/>
        <w:ind w:firstLine="480" w:firstLineChars="200"/>
        <w:jc w:val="both"/>
        <w:rPr>
          <w:rFonts w:ascii="宋体" w:hAnsi="宋体" w:eastAsia="宋体" w:cs="宋体"/>
          <w:lang w:val="zh-CN"/>
        </w:rPr>
      </w:pPr>
      <w:r>
        <w:rPr>
          <w:rFonts w:ascii="宋体" w:hAnsi="宋体" w:eastAsia="宋体" w:cs="宋体"/>
          <w:lang w:val="zh-CN"/>
        </w:rPr>
        <w:t>（二）进一步提升招股说明书信息披露质量。</w:t>
      </w:r>
      <w:bookmarkStart w:id="4" w:name="_D3"/>
      <w:bookmarkEnd w:id="4"/>
    </w:p>
    <w:p w14:paraId="1FDBF938">
      <w:pPr>
        <w:pStyle w:val="11"/>
        <w:spacing w:line="360" w:lineRule="auto"/>
        <w:ind w:firstLine="480" w:firstLineChars="200"/>
        <w:jc w:val="both"/>
        <w:rPr>
          <w:rFonts w:ascii="宋体" w:hAnsi="宋体" w:eastAsia="宋体" w:cs="宋体"/>
          <w:lang w:val="zh-CN"/>
        </w:rPr>
      </w:pPr>
      <w:r>
        <w:rPr>
          <w:rFonts w:ascii="宋体" w:hAnsi="宋体" w:eastAsia="宋体" w:cs="宋体"/>
          <w:lang w:val="zh-CN"/>
        </w:rPr>
        <w:t>（三）压实上市公司及相关方的信息披露责任。</w:t>
      </w:r>
      <w:bookmarkStart w:id="5" w:name="_D4"/>
      <w:bookmarkEnd w:id="5"/>
    </w:p>
    <w:p w14:paraId="4D727CB7">
      <w:pPr>
        <w:pStyle w:val="11"/>
        <w:spacing w:line="360" w:lineRule="auto"/>
        <w:ind w:firstLine="480" w:firstLineChars="200"/>
        <w:jc w:val="both"/>
        <w:rPr>
          <w:rFonts w:ascii="宋体" w:hAnsi="宋体" w:eastAsia="宋体" w:cs="宋体"/>
          <w:lang w:val="zh-CN"/>
        </w:rPr>
      </w:pPr>
      <w:r>
        <w:rPr>
          <w:rFonts w:ascii="宋体" w:hAnsi="宋体" w:eastAsia="宋体" w:cs="宋体"/>
          <w:lang w:val="zh-CN"/>
        </w:rPr>
        <w:t>（四）推动上市公司增强投资者回报。</w:t>
      </w:r>
      <w:bookmarkStart w:id="6" w:name="_T2"/>
      <w:bookmarkEnd w:id="6"/>
    </w:p>
    <w:p w14:paraId="5D76C2A1">
      <w:pPr>
        <w:pStyle w:val="11"/>
        <w:spacing w:line="360" w:lineRule="auto"/>
        <w:ind w:firstLine="480" w:firstLineChars="200"/>
        <w:jc w:val="both"/>
        <w:rPr>
          <w:rFonts w:ascii="宋体" w:hAnsi="宋体" w:eastAsia="宋体" w:cs="宋体"/>
          <w:lang w:val="zh-CN"/>
        </w:rPr>
      </w:pPr>
      <w:r>
        <w:rPr>
          <w:rStyle w:val="12"/>
          <w:rFonts w:ascii="宋体" w:hAnsi="宋体" w:eastAsia="宋体" w:cs="宋体"/>
          <w:lang w:val="zh-CN"/>
        </w:rPr>
        <w:t>二</w:t>
      </w:r>
      <w:bookmarkStart w:id="7" w:name="_T2K1"/>
      <w:bookmarkEnd w:id="7"/>
      <w:r>
        <w:rPr>
          <w:rStyle w:val="13"/>
          <w:rFonts w:ascii="宋体" w:hAnsi="宋体" w:eastAsia="宋体" w:cs="宋体"/>
          <w:lang w:val="zh-CN"/>
        </w:rPr>
        <w:t>、营造有利于中小投资者公平交易的制度环境</w:t>
      </w:r>
    </w:p>
    <w:p w14:paraId="1F69E427">
      <w:pPr>
        <w:pStyle w:val="11"/>
        <w:spacing w:line="360" w:lineRule="auto"/>
        <w:ind w:firstLine="480" w:firstLineChars="200"/>
        <w:jc w:val="both"/>
        <w:rPr>
          <w:rFonts w:ascii="宋体" w:hAnsi="宋体" w:eastAsia="宋体" w:cs="宋体"/>
          <w:lang w:val="zh-CN"/>
        </w:rPr>
      </w:pPr>
      <w:bookmarkStart w:id="8" w:name="_D5"/>
      <w:bookmarkEnd w:id="8"/>
      <w:r>
        <w:rPr>
          <w:rFonts w:ascii="宋体" w:hAnsi="宋体" w:eastAsia="宋体" w:cs="宋体"/>
          <w:lang w:val="zh-CN"/>
        </w:rPr>
        <w:t>（五）全面优化融资融券监管制度。</w:t>
      </w:r>
      <w:bookmarkStart w:id="9" w:name="_D6"/>
      <w:bookmarkEnd w:id="9"/>
    </w:p>
    <w:p w14:paraId="1A00C27F">
      <w:pPr>
        <w:pStyle w:val="11"/>
        <w:spacing w:line="360" w:lineRule="auto"/>
        <w:ind w:firstLine="480" w:firstLineChars="200"/>
        <w:jc w:val="both"/>
        <w:rPr>
          <w:rFonts w:ascii="宋体" w:hAnsi="宋体" w:eastAsia="宋体" w:cs="宋体"/>
          <w:lang w:val="zh-CN"/>
        </w:rPr>
      </w:pPr>
      <w:r>
        <w:rPr>
          <w:rFonts w:ascii="宋体" w:hAnsi="宋体" w:eastAsia="宋体" w:cs="宋体"/>
          <w:lang w:val="zh-CN"/>
        </w:rPr>
        <w:t>（六）进一步加强程序化交易监管。</w:t>
      </w:r>
      <w:bookmarkStart w:id="10" w:name="_D7"/>
      <w:bookmarkEnd w:id="10"/>
    </w:p>
    <w:p w14:paraId="24EC9F0B">
      <w:pPr>
        <w:pStyle w:val="11"/>
        <w:spacing w:line="360" w:lineRule="auto"/>
        <w:ind w:firstLine="480" w:firstLineChars="200"/>
        <w:jc w:val="both"/>
        <w:rPr>
          <w:rFonts w:ascii="宋体" w:hAnsi="宋体" w:eastAsia="宋体" w:cs="宋体"/>
          <w:lang w:val="zh-CN"/>
        </w:rPr>
      </w:pPr>
      <w:r>
        <w:rPr>
          <w:rFonts w:ascii="宋体" w:hAnsi="宋体" w:eastAsia="宋体" w:cs="宋体"/>
          <w:lang w:val="zh-CN"/>
        </w:rPr>
        <w:t>（七）加强证券期货经纪业务监管。严格落实证券交易、期货交易必须统一通过证券公司、期货公司业务系统的法律要求，严禁客户利用证券公司、期货公司的交易系统从事非法行为。</w:t>
      </w:r>
      <w:bookmarkStart w:id="11" w:name="_T3"/>
      <w:bookmarkEnd w:id="11"/>
    </w:p>
    <w:p w14:paraId="51B3B45D">
      <w:pPr>
        <w:pStyle w:val="11"/>
        <w:spacing w:line="360" w:lineRule="auto"/>
        <w:ind w:firstLine="480" w:firstLineChars="200"/>
        <w:jc w:val="both"/>
        <w:rPr>
          <w:rFonts w:ascii="宋体" w:hAnsi="宋体" w:eastAsia="宋体" w:cs="宋体"/>
          <w:lang w:val="zh-CN"/>
        </w:rPr>
      </w:pPr>
      <w:r>
        <w:rPr>
          <w:rStyle w:val="12"/>
          <w:rFonts w:ascii="宋体" w:hAnsi="宋体" w:eastAsia="宋体" w:cs="宋体"/>
          <w:lang w:val="zh-CN"/>
        </w:rPr>
        <w:t>三</w:t>
      </w:r>
      <w:bookmarkStart w:id="12" w:name="_T3K1"/>
      <w:bookmarkEnd w:id="12"/>
      <w:r>
        <w:rPr>
          <w:rStyle w:val="13"/>
          <w:rFonts w:ascii="宋体" w:hAnsi="宋体" w:eastAsia="宋体" w:cs="宋体"/>
          <w:lang w:val="zh-CN"/>
        </w:rPr>
        <w:t>、压实经营机构中小投资者保护责任</w:t>
      </w:r>
    </w:p>
    <w:p w14:paraId="43075927">
      <w:pPr>
        <w:pStyle w:val="11"/>
        <w:spacing w:line="360" w:lineRule="auto"/>
        <w:ind w:firstLine="480" w:firstLineChars="200"/>
        <w:jc w:val="both"/>
        <w:rPr>
          <w:rFonts w:ascii="宋体" w:hAnsi="宋体" w:eastAsia="宋体" w:cs="宋体"/>
          <w:lang w:val="zh-CN"/>
        </w:rPr>
      </w:pPr>
      <w:bookmarkStart w:id="13" w:name="_D8"/>
      <w:bookmarkEnd w:id="13"/>
      <w:r>
        <w:rPr>
          <w:rFonts w:ascii="宋体" w:hAnsi="宋体" w:eastAsia="宋体" w:cs="宋体"/>
          <w:lang w:val="zh-CN"/>
        </w:rPr>
        <w:t>（八）引导经营机构提供更多适合中小投资者的产品和服务。</w:t>
      </w:r>
      <w:bookmarkStart w:id="14" w:name="_D9"/>
      <w:bookmarkEnd w:id="14"/>
    </w:p>
    <w:p w14:paraId="77ADF7A5">
      <w:pPr>
        <w:pStyle w:val="11"/>
        <w:spacing w:line="360" w:lineRule="auto"/>
        <w:ind w:firstLine="480" w:firstLineChars="200"/>
        <w:jc w:val="both"/>
        <w:rPr>
          <w:rFonts w:ascii="宋体" w:hAnsi="宋体" w:eastAsia="宋体" w:cs="宋体"/>
          <w:lang w:val="zh-CN"/>
        </w:rPr>
      </w:pPr>
      <w:r>
        <w:rPr>
          <w:rFonts w:ascii="宋体" w:hAnsi="宋体" w:eastAsia="宋体" w:cs="宋体"/>
          <w:lang w:val="zh-CN"/>
        </w:rPr>
        <w:t>（九）督促经营机构落实投资者教育服务与适当性管理责任。</w:t>
      </w:r>
    </w:p>
    <w:p w14:paraId="048F5BA3">
      <w:pPr>
        <w:pStyle w:val="11"/>
        <w:spacing w:line="360" w:lineRule="auto"/>
        <w:ind w:firstLine="480" w:firstLineChars="200"/>
        <w:jc w:val="both"/>
        <w:rPr>
          <w:rFonts w:ascii="宋体" w:hAnsi="宋体" w:eastAsia="宋体" w:cs="宋体"/>
          <w:lang w:val="zh-CN"/>
        </w:rPr>
      </w:pPr>
      <w:bookmarkStart w:id="15" w:name="_D10"/>
      <w:bookmarkEnd w:id="15"/>
      <w:r>
        <w:rPr>
          <w:rFonts w:ascii="宋体" w:hAnsi="宋体" w:eastAsia="宋体" w:cs="宋体"/>
          <w:lang w:val="zh-CN"/>
        </w:rPr>
        <w:t>（十）压实经营机构处理投资者诉求的主体责任。</w:t>
      </w:r>
      <w:bookmarkStart w:id="16" w:name="_D11"/>
      <w:bookmarkEnd w:id="16"/>
    </w:p>
    <w:p w14:paraId="405CDB82">
      <w:pPr>
        <w:pStyle w:val="11"/>
        <w:spacing w:line="360" w:lineRule="auto"/>
        <w:ind w:firstLine="480" w:firstLineChars="200"/>
        <w:jc w:val="both"/>
        <w:rPr>
          <w:rFonts w:ascii="宋体" w:hAnsi="宋体" w:eastAsia="宋体" w:cs="宋体"/>
          <w:lang w:val="zh-CN"/>
        </w:rPr>
      </w:pPr>
      <w:r>
        <w:rPr>
          <w:rFonts w:ascii="宋体" w:hAnsi="宋体" w:eastAsia="宋体" w:cs="宋体"/>
          <w:lang w:val="zh-CN"/>
        </w:rPr>
        <w:t>（十一）依法支持加强对中小投资者的公平保护。</w:t>
      </w:r>
      <w:bookmarkStart w:id="17" w:name="_T4"/>
      <w:bookmarkEnd w:id="17"/>
    </w:p>
    <w:p w14:paraId="59B06B4F">
      <w:pPr>
        <w:pStyle w:val="11"/>
        <w:spacing w:line="360" w:lineRule="auto"/>
        <w:ind w:firstLine="480" w:firstLineChars="200"/>
        <w:jc w:val="both"/>
        <w:rPr>
          <w:rFonts w:ascii="宋体" w:hAnsi="宋体" w:eastAsia="宋体" w:cs="宋体"/>
          <w:lang w:val="zh-CN"/>
        </w:rPr>
      </w:pPr>
      <w:r>
        <w:rPr>
          <w:rStyle w:val="12"/>
          <w:rFonts w:ascii="宋体" w:hAnsi="宋体" w:eastAsia="宋体" w:cs="宋体"/>
          <w:b w:val="0"/>
          <w:bCs w:val="0"/>
          <w:lang w:val="zh-CN"/>
        </w:rPr>
        <w:t>四</w:t>
      </w:r>
      <w:bookmarkStart w:id="18" w:name="_T4K1"/>
      <w:bookmarkEnd w:id="18"/>
      <w:r>
        <w:rPr>
          <w:rStyle w:val="13"/>
          <w:rFonts w:ascii="宋体" w:hAnsi="宋体" w:eastAsia="宋体" w:cs="宋体"/>
          <w:lang w:val="zh-CN"/>
        </w:rPr>
        <w:t>、严厉打击侵害中小投资者利益的违法行为</w:t>
      </w:r>
    </w:p>
    <w:p w14:paraId="24A97B55">
      <w:pPr>
        <w:pStyle w:val="11"/>
        <w:spacing w:line="360" w:lineRule="auto"/>
        <w:ind w:firstLine="480" w:firstLineChars="200"/>
        <w:jc w:val="both"/>
        <w:rPr>
          <w:rFonts w:ascii="宋体" w:hAnsi="宋体" w:eastAsia="宋体" w:cs="宋体"/>
          <w:lang w:val="zh-CN"/>
        </w:rPr>
      </w:pPr>
      <w:bookmarkStart w:id="19" w:name="_D12"/>
      <w:bookmarkEnd w:id="19"/>
      <w:r>
        <w:rPr>
          <w:rFonts w:ascii="宋体" w:hAnsi="宋体" w:eastAsia="宋体" w:cs="宋体"/>
          <w:lang w:val="zh-CN"/>
        </w:rPr>
        <w:t>（十二）加大对欺诈发行、财务信息披露造假等严重损害投资者权益的违法行为的打击力度。</w:t>
      </w:r>
      <w:bookmarkStart w:id="20" w:name="_D13"/>
      <w:bookmarkEnd w:id="20"/>
    </w:p>
    <w:p w14:paraId="4706E0DA">
      <w:pPr>
        <w:pStyle w:val="11"/>
        <w:spacing w:line="360" w:lineRule="auto"/>
        <w:ind w:firstLine="480" w:firstLineChars="200"/>
        <w:jc w:val="both"/>
        <w:rPr>
          <w:rFonts w:ascii="宋体" w:hAnsi="宋体" w:eastAsia="宋体" w:cs="宋体"/>
          <w:lang w:val="zh-CN"/>
        </w:rPr>
      </w:pPr>
      <w:r>
        <w:rPr>
          <w:rFonts w:ascii="宋体" w:hAnsi="宋体" w:eastAsia="宋体" w:cs="宋体"/>
          <w:lang w:val="zh-CN"/>
        </w:rPr>
        <w:t>（十三）严厉整治各类不利于投资者保护的市场乱象。</w:t>
      </w:r>
      <w:bookmarkStart w:id="21" w:name="_T5"/>
      <w:bookmarkEnd w:id="21"/>
    </w:p>
    <w:p w14:paraId="2F2C468B">
      <w:pPr>
        <w:pStyle w:val="11"/>
        <w:spacing w:line="360" w:lineRule="auto"/>
        <w:ind w:firstLine="480" w:firstLineChars="200"/>
        <w:jc w:val="both"/>
        <w:rPr>
          <w:rFonts w:ascii="宋体" w:hAnsi="宋体" w:eastAsia="宋体" w:cs="宋体"/>
          <w:lang w:val="zh-CN"/>
        </w:rPr>
      </w:pPr>
      <w:r>
        <w:rPr>
          <w:rStyle w:val="12"/>
          <w:rFonts w:ascii="宋体" w:hAnsi="宋体" w:eastAsia="宋体" w:cs="宋体"/>
          <w:b w:val="0"/>
          <w:bCs w:val="0"/>
          <w:lang w:val="zh-CN"/>
        </w:rPr>
        <w:t>五</w:t>
      </w:r>
      <w:bookmarkStart w:id="22" w:name="_T5K1"/>
      <w:bookmarkEnd w:id="22"/>
      <w:r>
        <w:rPr>
          <w:rStyle w:val="13"/>
          <w:rFonts w:ascii="宋体" w:hAnsi="宋体" w:eastAsia="宋体" w:cs="宋体"/>
          <w:lang w:val="zh-CN"/>
        </w:rPr>
        <w:t>、深入推进证券期货纠纷多元化解机制建设</w:t>
      </w:r>
    </w:p>
    <w:p w14:paraId="33362053">
      <w:pPr>
        <w:pStyle w:val="11"/>
        <w:spacing w:line="360" w:lineRule="auto"/>
        <w:ind w:firstLine="480" w:firstLineChars="200"/>
        <w:jc w:val="both"/>
        <w:rPr>
          <w:rFonts w:ascii="宋体" w:hAnsi="宋体" w:eastAsia="宋体" w:cs="宋体"/>
          <w:lang w:val="zh-CN"/>
        </w:rPr>
      </w:pPr>
      <w:bookmarkStart w:id="23" w:name="_D14"/>
      <w:bookmarkEnd w:id="23"/>
      <w:r>
        <w:rPr>
          <w:rFonts w:ascii="宋体" w:hAnsi="宋体" w:eastAsia="宋体" w:cs="宋体"/>
          <w:lang w:val="zh-CN"/>
        </w:rPr>
        <w:t>（十四）进一步发挥调解的基础性作用。</w:t>
      </w:r>
      <w:bookmarkStart w:id="24" w:name="_D15"/>
      <w:bookmarkEnd w:id="24"/>
    </w:p>
    <w:p w14:paraId="51B20D35">
      <w:pPr>
        <w:pStyle w:val="11"/>
        <w:spacing w:line="360" w:lineRule="auto"/>
        <w:ind w:firstLine="480" w:firstLineChars="200"/>
        <w:jc w:val="both"/>
        <w:rPr>
          <w:rFonts w:ascii="宋体" w:hAnsi="宋体" w:eastAsia="宋体" w:cs="宋体"/>
          <w:lang w:val="zh-CN"/>
        </w:rPr>
      </w:pPr>
      <w:r>
        <w:rPr>
          <w:rFonts w:ascii="宋体" w:hAnsi="宋体" w:eastAsia="宋体" w:cs="宋体"/>
          <w:lang w:val="zh-CN"/>
        </w:rPr>
        <w:t>（十五）充分发挥民事诉讼的功能作用。</w:t>
      </w:r>
      <w:bookmarkStart w:id="25" w:name="_D16"/>
      <w:bookmarkEnd w:id="25"/>
    </w:p>
    <w:p w14:paraId="388110BF">
      <w:pPr>
        <w:pStyle w:val="11"/>
        <w:spacing w:line="360" w:lineRule="auto"/>
        <w:ind w:firstLine="480" w:firstLineChars="200"/>
        <w:jc w:val="both"/>
        <w:rPr>
          <w:rFonts w:ascii="宋体" w:hAnsi="宋体" w:eastAsia="宋体" w:cs="宋体"/>
          <w:lang w:val="zh-CN"/>
        </w:rPr>
      </w:pPr>
      <w:r>
        <w:rPr>
          <w:rFonts w:ascii="宋体" w:hAnsi="宋体" w:eastAsia="宋体" w:cs="宋体"/>
          <w:lang w:val="zh-CN"/>
        </w:rPr>
        <w:t>（十六）更好发挥先行赔付、行政执法当事人承诺制度作用。</w:t>
      </w:r>
      <w:bookmarkStart w:id="26" w:name="_T6"/>
      <w:bookmarkEnd w:id="26"/>
    </w:p>
    <w:p w14:paraId="2EC7CED4">
      <w:pPr>
        <w:pStyle w:val="11"/>
        <w:spacing w:line="360" w:lineRule="auto"/>
        <w:ind w:firstLine="480" w:firstLineChars="200"/>
        <w:jc w:val="both"/>
        <w:rPr>
          <w:rFonts w:ascii="宋体" w:hAnsi="宋体" w:eastAsia="宋体" w:cs="宋体"/>
          <w:lang w:val="zh-CN"/>
        </w:rPr>
      </w:pPr>
      <w:r>
        <w:rPr>
          <w:rStyle w:val="12"/>
          <w:rFonts w:ascii="宋体" w:hAnsi="宋体" w:eastAsia="宋体" w:cs="宋体"/>
          <w:b w:val="0"/>
          <w:bCs w:val="0"/>
          <w:lang w:val="zh-CN"/>
        </w:rPr>
        <w:t>六</w:t>
      </w:r>
      <w:bookmarkStart w:id="27" w:name="_T6K1"/>
      <w:bookmarkEnd w:id="27"/>
      <w:r>
        <w:rPr>
          <w:rStyle w:val="13"/>
          <w:rFonts w:ascii="宋体" w:hAnsi="宋体" w:eastAsia="宋体" w:cs="宋体"/>
          <w:lang w:val="zh-CN"/>
        </w:rPr>
        <w:t>、更好发挥投资者保护机构职能作用</w:t>
      </w:r>
    </w:p>
    <w:p w14:paraId="7413500C">
      <w:pPr>
        <w:pStyle w:val="11"/>
        <w:spacing w:line="360" w:lineRule="auto"/>
        <w:ind w:firstLine="480" w:firstLineChars="200"/>
        <w:jc w:val="both"/>
        <w:rPr>
          <w:rFonts w:ascii="宋体" w:hAnsi="宋体" w:eastAsia="宋体" w:cs="宋体"/>
          <w:lang w:val="zh-CN"/>
        </w:rPr>
      </w:pPr>
      <w:bookmarkStart w:id="28" w:name="_D17"/>
      <w:bookmarkEnd w:id="28"/>
      <w:r>
        <w:rPr>
          <w:rFonts w:ascii="宋体" w:hAnsi="宋体" w:eastAsia="宋体" w:cs="宋体"/>
          <w:lang w:val="zh-CN"/>
        </w:rPr>
        <w:t>（十七）有效发挥投资者保护机构的诉讼功能。</w:t>
      </w:r>
      <w:bookmarkStart w:id="29" w:name="_D18"/>
      <w:bookmarkEnd w:id="29"/>
    </w:p>
    <w:p w14:paraId="1EF6291B">
      <w:pPr>
        <w:pStyle w:val="11"/>
        <w:spacing w:line="360" w:lineRule="auto"/>
        <w:ind w:firstLine="480" w:firstLineChars="200"/>
        <w:jc w:val="both"/>
        <w:rPr>
          <w:rFonts w:ascii="宋体" w:hAnsi="宋体" w:eastAsia="宋体" w:cs="宋体"/>
          <w:lang w:val="zh-CN"/>
        </w:rPr>
      </w:pPr>
      <w:r>
        <w:rPr>
          <w:rFonts w:ascii="宋体" w:hAnsi="宋体" w:eastAsia="宋体" w:cs="宋体"/>
          <w:lang w:val="zh-CN"/>
        </w:rPr>
        <w:t>（十八）强化投资者保护机构的示范引领作用。</w:t>
      </w:r>
      <w:bookmarkStart w:id="30" w:name="_T7"/>
      <w:bookmarkEnd w:id="30"/>
    </w:p>
    <w:p w14:paraId="188697F3">
      <w:pPr>
        <w:pStyle w:val="11"/>
        <w:spacing w:line="360" w:lineRule="auto"/>
        <w:ind w:firstLine="480" w:firstLineChars="200"/>
        <w:jc w:val="both"/>
        <w:rPr>
          <w:rFonts w:ascii="宋体" w:hAnsi="宋体" w:eastAsia="宋体" w:cs="宋体"/>
          <w:lang w:val="zh-CN"/>
        </w:rPr>
      </w:pPr>
      <w:r>
        <w:rPr>
          <w:rStyle w:val="12"/>
          <w:rFonts w:ascii="宋体" w:hAnsi="宋体" w:eastAsia="宋体" w:cs="宋体"/>
          <w:b w:val="0"/>
          <w:bCs w:val="0"/>
          <w:lang w:val="zh-CN"/>
        </w:rPr>
        <w:t>七</w:t>
      </w:r>
      <w:bookmarkStart w:id="31" w:name="_T7K1"/>
      <w:bookmarkEnd w:id="31"/>
      <w:r>
        <w:rPr>
          <w:rStyle w:val="13"/>
          <w:rFonts w:ascii="宋体" w:hAnsi="宋体" w:eastAsia="宋体" w:cs="宋体"/>
          <w:lang w:val="zh-CN"/>
        </w:rPr>
        <w:t>、健全终止上市过程中的中小投资者保护制度机制</w:t>
      </w:r>
    </w:p>
    <w:p w14:paraId="4B31CDF0">
      <w:pPr>
        <w:pStyle w:val="11"/>
        <w:spacing w:line="360" w:lineRule="auto"/>
        <w:ind w:firstLine="480" w:firstLineChars="200"/>
        <w:jc w:val="both"/>
        <w:rPr>
          <w:rFonts w:ascii="宋体" w:hAnsi="宋体" w:eastAsia="宋体" w:cs="宋体"/>
          <w:lang w:val="zh-CN"/>
        </w:rPr>
      </w:pPr>
      <w:bookmarkStart w:id="32" w:name="_D19"/>
      <w:bookmarkEnd w:id="32"/>
      <w:r>
        <w:rPr>
          <w:rFonts w:ascii="宋体" w:hAnsi="宋体" w:eastAsia="宋体" w:cs="宋体"/>
          <w:lang w:val="zh-CN"/>
        </w:rPr>
        <w:t>（十九）加强对存在退市风险上市公司的持续监管。</w:t>
      </w:r>
      <w:bookmarkStart w:id="33" w:name="_D20"/>
      <w:bookmarkEnd w:id="33"/>
    </w:p>
    <w:p w14:paraId="33C0B4F1">
      <w:pPr>
        <w:pStyle w:val="11"/>
        <w:spacing w:line="360" w:lineRule="auto"/>
        <w:ind w:firstLine="480" w:firstLineChars="200"/>
        <w:jc w:val="both"/>
        <w:rPr>
          <w:rFonts w:ascii="宋体" w:hAnsi="宋体" w:eastAsia="宋体" w:cs="宋体"/>
          <w:lang w:val="zh-CN"/>
        </w:rPr>
      </w:pPr>
      <w:r>
        <w:rPr>
          <w:rFonts w:ascii="宋体" w:hAnsi="宋体" w:eastAsia="宋体" w:cs="宋体"/>
          <w:lang w:val="zh-CN"/>
        </w:rPr>
        <w:t>（二十）强化重大违法强制退市中的投资者保护。</w:t>
      </w:r>
      <w:bookmarkStart w:id="34" w:name="_D21"/>
      <w:bookmarkEnd w:id="34"/>
    </w:p>
    <w:p w14:paraId="6C6A92DB">
      <w:pPr>
        <w:pStyle w:val="11"/>
        <w:spacing w:line="360" w:lineRule="auto"/>
        <w:ind w:firstLine="480" w:firstLineChars="200"/>
        <w:jc w:val="both"/>
        <w:rPr>
          <w:rFonts w:ascii="宋体" w:hAnsi="宋体" w:eastAsia="宋体" w:cs="宋体"/>
          <w:lang w:val="zh-CN"/>
        </w:rPr>
      </w:pPr>
      <w:r>
        <w:rPr>
          <w:rFonts w:ascii="宋体" w:hAnsi="宋体" w:eastAsia="宋体" w:cs="宋体"/>
          <w:lang w:val="zh-CN"/>
        </w:rPr>
        <w:t>（二十一）强化上市公司主动退市中的投资者保护。</w:t>
      </w:r>
      <w:bookmarkStart w:id="35" w:name="_T8"/>
      <w:bookmarkEnd w:id="35"/>
    </w:p>
    <w:p w14:paraId="097DBA15">
      <w:pPr>
        <w:pStyle w:val="11"/>
        <w:spacing w:line="360" w:lineRule="auto"/>
        <w:ind w:firstLine="480" w:firstLineChars="200"/>
        <w:jc w:val="both"/>
        <w:rPr>
          <w:rFonts w:ascii="宋体" w:hAnsi="宋体" w:eastAsia="宋体" w:cs="宋体"/>
          <w:lang w:val="zh-CN"/>
        </w:rPr>
      </w:pPr>
      <w:r>
        <w:rPr>
          <w:rStyle w:val="12"/>
          <w:rFonts w:ascii="宋体" w:hAnsi="宋体" w:eastAsia="宋体" w:cs="宋体"/>
          <w:b w:val="0"/>
          <w:bCs w:val="0"/>
          <w:lang w:val="zh-CN"/>
        </w:rPr>
        <w:t>八</w:t>
      </w:r>
      <w:bookmarkStart w:id="36" w:name="_T8K1"/>
      <w:bookmarkEnd w:id="36"/>
      <w:r>
        <w:rPr>
          <w:rStyle w:val="13"/>
          <w:rFonts w:ascii="宋体" w:hAnsi="宋体" w:eastAsia="宋体" w:cs="宋体"/>
          <w:lang w:val="zh-CN"/>
        </w:rPr>
        <w:t>、强化中小投资者保护的法治保障</w:t>
      </w:r>
    </w:p>
    <w:p w14:paraId="251AF07A">
      <w:pPr>
        <w:pStyle w:val="11"/>
        <w:spacing w:line="360" w:lineRule="auto"/>
        <w:ind w:firstLine="480" w:firstLineChars="200"/>
        <w:jc w:val="both"/>
        <w:rPr>
          <w:rFonts w:ascii="宋体" w:hAnsi="宋体" w:eastAsia="宋体" w:cs="宋体"/>
          <w:lang w:val="zh-CN"/>
        </w:rPr>
      </w:pPr>
      <w:bookmarkStart w:id="37" w:name="_D22"/>
      <w:bookmarkEnd w:id="37"/>
      <w:r>
        <w:rPr>
          <w:rFonts w:ascii="宋体" w:hAnsi="宋体" w:eastAsia="宋体" w:cs="宋体"/>
          <w:lang w:val="zh-CN"/>
        </w:rPr>
        <w:t>（二十二）健全中小投资者参与资本市场立法的制度机制</w:t>
      </w:r>
      <w:bookmarkStart w:id="38" w:name="_D23"/>
      <w:bookmarkEnd w:id="38"/>
      <w:r>
        <w:rPr>
          <w:rFonts w:hint="eastAsia" w:ascii="宋体" w:hAnsi="宋体" w:eastAsia="宋体" w:cs="宋体"/>
          <w:lang w:val="zh-CN"/>
        </w:rPr>
        <w:t>。</w:t>
      </w:r>
    </w:p>
    <w:p w14:paraId="71FD2AA7">
      <w:pPr>
        <w:pStyle w:val="11"/>
        <w:spacing w:line="360" w:lineRule="auto"/>
        <w:ind w:firstLine="480" w:firstLineChars="200"/>
        <w:jc w:val="both"/>
        <w:rPr>
          <w:rFonts w:ascii="宋体" w:hAnsi="宋体" w:eastAsia="宋体"/>
        </w:rPr>
      </w:pPr>
      <w:r>
        <w:rPr>
          <w:rFonts w:ascii="宋体" w:hAnsi="宋体" w:eastAsia="宋体" w:cs="宋体"/>
          <w:lang w:val="zh-CN"/>
        </w:rPr>
        <w:t>（二十三）夯实中小投资者保护的法治基础。</w:t>
      </w:r>
    </w:p>
    <w:p w14:paraId="62F67CE3">
      <w:pPr>
        <w:spacing w:before="156" w:beforeLines="50" w:after="156" w:afterLines="50" w:line="360" w:lineRule="auto"/>
        <w:ind w:firstLine="480" w:firstLineChars="200"/>
        <w:rPr>
          <w:rFonts w:ascii="宋体" w:hAnsi="宋体" w:eastAsia="宋体"/>
          <w:sz w:val="24"/>
        </w:rPr>
      </w:pPr>
    </w:p>
    <w:p w14:paraId="1635686C">
      <w:pPr>
        <w:spacing w:before="156" w:beforeLines="50" w:after="156" w:afterLines="50" w:line="360" w:lineRule="auto"/>
        <w:ind w:firstLine="561" w:firstLineChars="200"/>
        <w:rPr>
          <w:rFonts w:ascii="宋体" w:hAnsi="宋体" w:eastAsia="宋体"/>
          <w:b/>
          <w:bCs/>
          <w:color w:val="FFFFFF"/>
          <w:sz w:val="28"/>
          <w:szCs w:val="28"/>
          <w:highlight w:val="blue"/>
        </w:rPr>
      </w:pPr>
      <w:r>
        <w:rPr>
          <w:rFonts w:ascii="宋体" w:hAnsi="宋体" w:eastAsia="宋体"/>
          <w:b/>
          <w:bCs/>
          <w:color w:val="FFFFFF"/>
          <w:sz w:val="28"/>
          <w:szCs w:val="28"/>
          <w:highlight w:val="blue"/>
        </w:rPr>
        <w:t>二、典型示范案例</w:t>
      </w:r>
      <w:r>
        <w:rPr>
          <w:rFonts w:hint="eastAsia" w:ascii="宋体" w:hAnsi="宋体" w:eastAsia="宋体"/>
          <w:b/>
          <w:bCs/>
          <w:color w:val="FFFFFF"/>
          <w:sz w:val="28"/>
          <w:szCs w:val="28"/>
          <w:highlight w:val="blue"/>
        </w:rPr>
        <w:t xml:space="preserve"> </w:t>
      </w:r>
    </w:p>
    <w:p w14:paraId="57E9BB77">
      <w:pPr>
        <w:spacing w:before="156" w:beforeLines="50" w:after="156" w:afterLines="50" w:line="360" w:lineRule="auto"/>
        <w:ind w:firstLine="480" w:firstLineChars="200"/>
        <w:rPr>
          <w:rFonts w:ascii="Calibri" w:hAnsi="Calibri" w:eastAsia="宋体"/>
          <w:b/>
          <w:bCs/>
          <w:sz w:val="24"/>
        </w:rPr>
      </w:pPr>
      <w:r>
        <w:rPr>
          <w:rFonts w:hint="eastAsia" w:ascii="Calibri" w:hAnsi="Calibri" w:eastAsia="宋体"/>
          <w:b/>
          <w:bCs/>
          <w:sz w:val="24"/>
        </w:rPr>
        <w:t>案例1：</w:t>
      </w:r>
      <w:r>
        <w:rPr>
          <w:rFonts w:hint="eastAsia" w:ascii="宋体" w:hAnsi="宋体" w:eastAsia="宋体"/>
          <w:b/>
          <w:bCs/>
          <w:sz w:val="24"/>
        </w:rPr>
        <w:t>夏某某请求变更公司登记纠纷二审案【案号：(2025)京03民终8510号】</w:t>
      </w:r>
    </w:p>
    <w:p w14:paraId="31483AB8">
      <w:pPr>
        <w:spacing w:before="156" w:beforeLines="50" w:after="156" w:afterLines="50" w:line="360" w:lineRule="auto"/>
        <w:ind w:firstLine="480" w:firstLineChars="200"/>
        <w:rPr>
          <w:rFonts w:ascii="Calibri" w:hAnsi="Calibri" w:eastAsia="宋体"/>
          <w:b/>
          <w:bCs/>
          <w:sz w:val="24"/>
        </w:rPr>
      </w:pPr>
      <w:r>
        <w:rPr>
          <w:rFonts w:hint="eastAsia" w:ascii="Calibri" w:hAnsi="Calibri" w:eastAsia="宋体"/>
          <w:b/>
          <w:bCs/>
          <w:sz w:val="24"/>
        </w:rPr>
        <w:t>（1）争议焦点</w:t>
      </w:r>
    </w:p>
    <w:p w14:paraId="501551D1">
      <w:pPr>
        <w:spacing w:before="156" w:beforeLines="50" w:after="156" w:afterLines="50" w:line="360" w:lineRule="auto"/>
        <w:ind w:firstLine="480" w:firstLineChars="200"/>
        <w:rPr>
          <w:rFonts w:ascii="Calibri" w:hAnsi="Calibri" w:eastAsia="宋体"/>
          <w:sz w:val="24"/>
        </w:rPr>
      </w:pPr>
      <w:r>
        <w:rPr>
          <w:rFonts w:hint="eastAsia" w:ascii="Calibri" w:hAnsi="Calibri" w:eastAsia="宋体"/>
          <w:sz w:val="24"/>
        </w:rPr>
        <w:t>在公司已被注销主体资格的情况下， 公司法定代表人的变更或涤除是否丧失客观条件。</w:t>
      </w:r>
    </w:p>
    <w:p w14:paraId="55233230">
      <w:pPr>
        <w:spacing w:before="156" w:beforeLines="50" w:after="156" w:afterLines="50" w:line="360" w:lineRule="auto"/>
        <w:ind w:firstLine="480" w:firstLineChars="200"/>
        <w:rPr>
          <w:rFonts w:ascii="Calibri" w:hAnsi="Calibri" w:eastAsia="宋体"/>
          <w:b/>
          <w:bCs/>
          <w:sz w:val="24"/>
        </w:rPr>
      </w:pPr>
      <w:r>
        <w:rPr>
          <w:rFonts w:hint="eastAsia" w:ascii="Calibri" w:hAnsi="Calibri" w:eastAsia="宋体"/>
          <w:b/>
          <w:bCs/>
          <w:sz w:val="24"/>
        </w:rPr>
        <w:t>（2）裁判要旨</w:t>
      </w:r>
    </w:p>
    <w:p w14:paraId="1BAEA93E">
      <w:pPr>
        <w:spacing w:before="156" w:beforeLines="50" w:after="156" w:afterLines="50" w:line="360" w:lineRule="auto"/>
        <w:ind w:firstLine="480" w:firstLineChars="200"/>
      </w:pPr>
      <w:r>
        <w:rPr>
          <w:rFonts w:hint="eastAsia" w:ascii="Calibri" w:hAnsi="Calibri" w:eastAsia="宋体"/>
          <w:sz w:val="24"/>
        </w:rPr>
        <w:t>《 中华人民共和国公司法》第十三条规定， 公司法定代表人依照公司章程的规定，由董事长、执行董事或者经理担任，并依法登记； 公司法定代表人变更，应当办理变更登记。第四十五条规定，董事任期由公司章程规定，但每届任期不得超过三年。董事任期届满，连选可以连任。董事任期届满未及时改选，或者董事在任期内辞职导致董事会成员低于法定人数的，在改选出的董事就任前，原董事仍应当依照法律、行政法规和公司章程的规定，履行董事职务。本案中，夏某某系某甲公司注销前登记的执行董事及法定代表人，根据某甲公司注销前的章程规定， 公司法定代表人由执行董事担任，执行董事由股东会选举产生，任期三年，任期届满，可连选连任，执行董事有权召集股东会。现夏某某提供的微信聊天记录截图显示对方同意更换公司的法定代表人，夏某某在二审中提供的某甲公司其他两名股东情况说明亦显示二人同意涤除夏某某的法定代表人身份。即在某甲公司主体资格尚存的情况下，夏某某系存在通过某甲公司内部自治程序达到涤除其法定代表人身份的可能。但由于办理工商变更登记事项的主体是公司，在某甲公司已被注销主体资格的情况下， 公司法定代表人的变更或涤除已丧失客观条件。</w:t>
      </w:r>
    </w:p>
    <w:p w14:paraId="7459472B">
      <w:pPr>
        <w:spacing w:before="156" w:beforeLines="50" w:after="156" w:afterLines="50" w:line="360" w:lineRule="auto"/>
        <w:ind w:firstLine="480" w:firstLineChars="200"/>
        <w:rPr>
          <w:rFonts w:ascii="宋体" w:hAnsi="宋体" w:eastAsia="宋体"/>
          <w:sz w:val="24"/>
        </w:rPr>
      </w:pPr>
      <w:r>
        <w:rPr>
          <w:rFonts w:hint="eastAsia" w:ascii="Calibri" w:hAnsi="Calibri" w:eastAsia="宋体"/>
          <w:b/>
          <w:bCs/>
          <w:sz w:val="24"/>
        </w:rPr>
        <w:t>案例2：</w:t>
      </w:r>
      <w:r>
        <w:rPr>
          <w:rFonts w:hint="eastAsia" w:ascii="宋体" w:hAnsi="宋体" w:eastAsia="宋体"/>
          <w:b/>
          <w:bCs/>
          <w:sz w:val="24"/>
        </w:rPr>
        <w:t>广东某有限公司、黄某某请求变更公司登记纠纷再审案【案号：(2025)粤民申2500号】</w:t>
      </w:r>
    </w:p>
    <w:p w14:paraId="1F06AD89">
      <w:pPr>
        <w:spacing w:before="156" w:beforeLines="50" w:after="156" w:afterLines="50" w:line="360" w:lineRule="auto"/>
        <w:ind w:firstLine="480" w:firstLineChars="200"/>
        <w:rPr>
          <w:rFonts w:ascii="Calibri" w:hAnsi="Calibri" w:eastAsia="宋体"/>
          <w:b/>
          <w:bCs/>
          <w:sz w:val="24"/>
        </w:rPr>
      </w:pPr>
      <w:r>
        <w:rPr>
          <w:rFonts w:hint="eastAsia" w:ascii="Calibri" w:hAnsi="Calibri" w:eastAsia="宋体"/>
          <w:b/>
          <w:bCs/>
          <w:sz w:val="24"/>
        </w:rPr>
        <w:t>（1）争议焦点</w:t>
      </w:r>
    </w:p>
    <w:p w14:paraId="1FD48B62">
      <w:pPr>
        <w:spacing w:before="156" w:beforeLines="50" w:after="156" w:afterLines="50" w:line="360" w:lineRule="auto"/>
        <w:ind w:firstLine="480" w:firstLineChars="200"/>
        <w:rPr>
          <w:rFonts w:ascii="Calibri" w:hAnsi="Calibri" w:eastAsia="宋体"/>
          <w:sz w:val="24"/>
        </w:rPr>
      </w:pPr>
      <w:r>
        <w:rPr>
          <w:rFonts w:hint="eastAsia" w:ascii="Calibri" w:hAnsi="Calibri" w:eastAsia="宋体"/>
          <w:sz w:val="24"/>
        </w:rPr>
        <w:t>公司已被吊销营业执照，是否有权要求涤除其公司法定代表人的工商登记事项。</w:t>
      </w:r>
    </w:p>
    <w:p w14:paraId="488B951F">
      <w:pPr>
        <w:spacing w:before="156" w:beforeLines="50" w:after="156" w:afterLines="50" w:line="360" w:lineRule="auto"/>
        <w:ind w:firstLine="480" w:firstLineChars="200"/>
        <w:rPr>
          <w:rFonts w:ascii="Calibri" w:hAnsi="Calibri" w:eastAsia="宋体"/>
          <w:b/>
          <w:bCs/>
          <w:sz w:val="24"/>
        </w:rPr>
      </w:pPr>
      <w:r>
        <w:rPr>
          <w:rFonts w:hint="eastAsia" w:ascii="Calibri" w:hAnsi="Calibri" w:eastAsia="宋体"/>
          <w:b/>
          <w:bCs/>
          <w:sz w:val="24"/>
        </w:rPr>
        <w:t>（2）裁判要旨</w:t>
      </w:r>
    </w:p>
    <w:p w14:paraId="29C5D656">
      <w:pPr>
        <w:spacing w:line="360" w:lineRule="auto"/>
        <w:ind w:firstLine="480" w:firstLineChars="200"/>
        <w:rPr>
          <w:rFonts w:eastAsia="宋体"/>
        </w:rPr>
      </w:pPr>
      <w:r>
        <w:rPr>
          <w:rFonts w:hint="eastAsia" w:ascii="Calibri" w:hAnsi="Calibri" w:eastAsia="宋体"/>
          <w:sz w:val="24"/>
        </w:rPr>
        <w:t>《中华人民共和国公司法（2023年修订）》第七十条规定：“董事任期由公司章程规定，但每届任期不得超过三年。董事任期届满，连选可以连任。董事任期届满未及时改选，或者董事在任期内辞任导致董事会成员低于法定人数的，在改选出的董事就任前，原董事仍应当依照法律、行政法规和公司章程的规定，履行董事职务。”董事任期届满未及时改选，在改选出的董事就任前，黄某仍应当按照法律、行政法规和公司章程的规定，履行董事职务。黄某要求广东某公司办理法定代表人变更登记一事，因广东某公司已被吊销营业执照，不具备办理变更登记的条件，应驳回黄某涤除其法定代表人身份的诉讼请求。</w:t>
      </w:r>
    </w:p>
    <w:p w14:paraId="7FB0A808"/>
    <w:p w14:paraId="295262B9">
      <w:pPr>
        <w:spacing w:before="156" w:beforeLines="50" w:after="156" w:afterLines="50" w:line="360" w:lineRule="auto"/>
        <w:ind w:firstLine="480" w:firstLineChars="200"/>
        <w:rPr>
          <w:rFonts w:ascii="Calibri" w:hAnsi="Calibri" w:eastAsia="宋体"/>
          <w:b/>
          <w:bCs/>
          <w:sz w:val="24"/>
        </w:rPr>
      </w:pPr>
      <w:r>
        <w:rPr>
          <w:rFonts w:hint="eastAsia" w:ascii="Calibri" w:hAnsi="Calibri" w:eastAsia="宋体"/>
          <w:b/>
          <w:bCs/>
          <w:sz w:val="24"/>
        </w:rPr>
        <w:t>案例3：</w:t>
      </w:r>
      <w:r>
        <w:rPr>
          <w:rFonts w:hint="eastAsia" w:ascii="宋体" w:hAnsi="宋体" w:eastAsia="宋体"/>
          <w:b/>
          <w:bCs/>
          <w:sz w:val="24"/>
        </w:rPr>
        <w:t>顾某与陕西虹立丰农业发展有限公司公司解散纠纷再审案【案号：(2025)陕民申889号】</w:t>
      </w:r>
    </w:p>
    <w:p w14:paraId="21C7E256">
      <w:pPr>
        <w:spacing w:before="156" w:beforeLines="50" w:after="156" w:afterLines="50" w:line="360" w:lineRule="auto"/>
        <w:ind w:firstLine="480" w:firstLineChars="200"/>
        <w:rPr>
          <w:rFonts w:ascii="Calibri" w:hAnsi="Calibri" w:eastAsia="宋体"/>
          <w:b/>
          <w:bCs/>
          <w:sz w:val="24"/>
        </w:rPr>
      </w:pPr>
      <w:r>
        <w:rPr>
          <w:rFonts w:hint="eastAsia" w:ascii="Calibri" w:hAnsi="Calibri" w:eastAsia="宋体"/>
          <w:b/>
          <w:bCs/>
          <w:sz w:val="24"/>
        </w:rPr>
        <w:t>（1）争议焦点</w:t>
      </w:r>
    </w:p>
    <w:p w14:paraId="261F212B">
      <w:pPr>
        <w:spacing w:before="156" w:beforeLines="50" w:after="156" w:afterLines="50" w:line="360" w:lineRule="auto"/>
        <w:ind w:firstLine="480" w:firstLineChars="200"/>
        <w:rPr>
          <w:rFonts w:ascii="Calibri" w:hAnsi="Calibri" w:eastAsia="宋体"/>
          <w:sz w:val="24"/>
        </w:rPr>
      </w:pPr>
      <w:r>
        <w:rPr>
          <w:rFonts w:hint="eastAsia" w:ascii="Calibri" w:hAnsi="Calibri" w:eastAsia="宋体"/>
          <w:sz w:val="24"/>
        </w:rPr>
        <w:t>公司强制解散条件。</w:t>
      </w:r>
    </w:p>
    <w:p w14:paraId="782FD272">
      <w:pPr>
        <w:spacing w:before="156" w:beforeLines="50" w:after="156" w:afterLines="50" w:line="360" w:lineRule="auto"/>
        <w:ind w:firstLine="480" w:firstLineChars="200"/>
        <w:rPr>
          <w:rFonts w:ascii="Calibri" w:hAnsi="Calibri" w:eastAsia="宋体"/>
          <w:b/>
          <w:bCs/>
          <w:sz w:val="24"/>
        </w:rPr>
      </w:pPr>
      <w:r>
        <w:rPr>
          <w:rFonts w:hint="eastAsia" w:ascii="Calibri" w:hAnsi="Calibri" w:eastAsia="宋体"/>
          <w:b/>
          <w:bCs/>
          <w:sz w:val="24"/>
        </w:rPr>
        <w:t>（2）裁判要旨</w:t>
      </w:r>
    </w:p>
    <w:p w14:paraId="342876E9">
      <w:pPr>
        <w:spacing w:line="360" w:lineRule="auto"/>
        <w:ind w:firstLine="480" w:firstLineChars="200"/>
        <w:rPr>
          <w:rFonts w:ascii="宋体" w:hAnsi="宋体" w:eastAsia="宋体" w:cs="宋体"/>
          <w:sz w:val="24"/>
        </w:rPr>
      </w:pPr>
      <w:r>
        <w:rPr>
          <w:rFonts w:hint="eastAsia" w:ascii="宋体" w:hAnsi="宋体" w:eastAsia="宋体" w:cs="宋体"/>
          <w:sz w:val="24"/>
        </w:rPr>
        <w:t xml:space="preserve">《中华人民共和国公司法》第二百三十一条规定：“公司经营管理发生严重困难，继续存续会使股东利益受到重大损失，通过其他途径不能解决的，持有公司百分之十以上表决权的股东，可以请求人民法院解散公司”。经查，虹立丰公司为农业种植类公司且仍在持续经营，公司登记股东为张某与顾某，张某持股60%，顾某持股40%，顾某系案外人刘剑军的挂名股东，2022年12月7日张某曾向顾某和隐名股东刘剑军发送短信，通知召开股东会议，但顾某和刘剑军均未参加，故顾某关于虹立丰公司股东会机制失灵的主张缺乏事实依据，顾某关于公司经营管理发生严重困难、虹立丰公司符合强制解散条件的再审申请理由不能成立，二审判决驳回顾某解散虹立丰公司的诉讼请求，并无不当。 </w:t>
      </w:r>
    </w:p>
    <w:p w14:paraId="3666CA7D">
      <w:pPr>
        <w:spacing w:before="156" w:beforeLines="50" w:after="156" w:afterLines="50" w:line="360" w:lineRule="auto"/>
        <w:ind w:firstLine="480" w:firstLineChars="200"/>
        <w:rPr>
          <w:rFonts w:ascii="Calibri" w:hAnsi="Calibri" w:eastAsia="宋体"/>
          <w:b/>
          <w:bCs/>
          <w:sz w:val="24"/>
        </w:rPr>
      </w:pPr>
      <w:r>
        <w:rPr>
          <w:rFonts w:hint="eastAsia" w:ascii="Calibri" w:hAnsi="Calibri" w:eastAsia="宋体"/>
          <w:b/>
          <w:bCs/>
          <w:sz w:val="24"/>
        </w:rPr>
        <w:t>案例4：</w:t>
      </w:r>
      <w:r>
        <w:rPr>
          <w:rFonts w:hint="eastAsia" w:ascii="宋体" w:hAnsi="宋体" w:eastAsia="宋体"/>
          <w:b/>
          <w:bCs/>
          <w:sz w:val="24"/>
        </w:rPr>
        <w:t>珠海某有限公司、凯旋某有限公司等公司解散纠纷二审案【案号：(2025)粤民终795号】</w:t>
      </w:r>
    </w:p>
    <w:p w14:paraId="52C49CD0">
      <w:pPr>
        <w:spacing w:before="156" w:beforeLines="50" w:after="156" w:afterLines="50" w:line="360" w:lineRule="auto"/>
        <w:ind w:firstLine="480" w:firstLineChars="200"/>
        <w:rPr>
          <w:rFonts w:ascii="Calibri" w:hAnsi="Calibri" w:eastAsia="宋体"/>
          <w:b/>
          <w:bCs/>
          <w:sz w:val="24"/>
        </w:rPr>
      </w:pPr>
      <w:r>
        <w:rPr>
          <w:rFonts w:hint="eastAsia" w:ascii="Calibri" w:hAnsi="Calibri" w:eastAsia="宋体"/>
          <w:b/>
          <w:bCs/>
          <w:sz w:val="24"/>
        </w:rPr>
        <w:t>（1）争议焦点</w:t>
      </w:r>
    </w:p>
    <w:p w14:paraId="774F879D">
      <w:pPr>
        <w:spacing w:before="156" w:beforeLines="50" w:after="156" w:afterLines="50" w:line="360" w:lineRule="auto"/>
        <w:ind w:firstLine="480" w:firstLineChars="200"/>
        <w:rPr>
          <w:rFonts w:ascii="Calibri" w:hAnsi="Calibri" w:eastAsia="宋体"/>
          <w:sz w:val="24"/>
        </w:rPr>
      </w:pPr>
      <w:r>
        <w:rPr>
          <w:rFonts w:hint="eastAsia" w:ascii="Calibri" w:hAnsi="Calibri" w:eastAsia="宋体"/>
          <w:sz w:val="24"/>
        </w:rPr>
        <w:t>某丁公司是否符合法定解散条件而应被解散。</w:t>
      </w:r>
    </w:p>
    <w:p w14:paraId="01A801CF">
      <w:pPr>
        <w:spacing w:before="156" w:beforeLines="50" w:after="156" w:afterLines="50" w:line="360" w:lineRule="auto"/>
        <w:ind w:firstLine="480" w:firstLineChars="200"/>
        <w:rPr>
          <w:rFonts w:ascii="Calibri" w:hAnsi="Calibri" w:eastAsia="宋体"/>
          <w:b/>
          <w:bCs/>
          <w:sz w:val="24"/>
        </w:rPr>
      </w:pPr>
      <w:r>
        <w:rPr>
          <w:rFonts w:hint="eastAsia" w:ascii="Calibri" w:hAnsi="Calibri" w:eastAsia="宋体"/>
          <w:b/>
          <w:bCs/>
          <w:sz w:val="24"/>
        </w:rPr>
        <w:t>（2）裁判要旨</w:t>
      </w:r>
    </w:p>
    <w:p w14:paraId="44988F4B">
      <w:pPr>
        <w:spacing w:line="360" w:lineRule="auto"/>
        <w:ind w:firstLine="480" w:firstLineChars="200"/>
        <w:rPr>
          <w:rFonts w:ascii="宋体" w:hAnsi="宋体" w:eastAsia="宋体" w:cs="宋体"/>
          <w:color w:val="0000FF"/>
          <w:sz w:val="24"/>
          <w:u w:val="single"/>
        </w:rPr>
      </w:pPr>
      <w:r>
        <w:rPr>
          <w:rFonts w:hint="eastAsia" w:ascii="Calibri" w:hAnsi="Calibri" w:eastAsia="宋体"/>
          <w:sz w:val="24"/>
        </w:rPr>
        <w:t>首先，某甲公司作为持有某丁公司20.6%股份的股东,有权依据《中华人民共和国公司法》第二百三十一条规定提起解散某丁公司的诉讼。其次，某丁公司章程规定，董事会由某甲公司委派3人、某乙公司委派4人组成，董事会会议应有三分之二以上董事出席才能举行。由于某丁公司的两个股东分别委派的董事均不足三分之二，即使要召开董事会，由于两个股东之间存在冲突，在任一方委派的董事未出席情况下，某丁公司就无法召开董事会并作出有效决议。一审法院认定某丁公司经营管理发生严重困难，有事实依据。最后，某丁公司作为中外合资经营企业，其经营期限已于2024年12月18日届满，现既无证据证实其股东经协商一致或董事会作出有效决议同意延长经营期限，也无证据显示目前有投资者愿以合理对价受让某甲公司持有某丁公司的股份，从而使得某丁公司的经营期限可以延续。因某丁公司未能举证证实存在可续期经营的替代解决方案，其应自行承担举证不能的后果。依照《中华人民共和国公司法》第二百二十九条第一款第一项关于“公司因下列原因解散：（一）公司章程规定的营业期限届满或者公司章程规定的其他解散事由出现……”的规定，某甲公司申请解散某丁公司的依据充分。综上，一审法院以某丁公司的经营管理发生严重困难及其章程规定的经营期限已届满为由判决解散该公司，有事实和法律依据，本院依法予以维持。某丁公司上诉主张不应将其解散的理由不能成立，本院不予支持。</w:t>
      </w:r>
    </w:p>
    <w:p w14:paraId="160D518C"/>
    <w:p w14:paraId="2EF94546">
      <w:pPr>
        <w:spacing w:before="156" w:beforeLines="50" w:after="156" w:afterLines="50" w:line="360" w:lineRule="auto"/>
        <w:ind w:firstLine="480" w:firstLineChars="200"/>
        <w:rPr>
          <w:rFonts w:ascii="Calibri" w:hAnsi="Calibri" w:eastAsia="宋体"/>
          <w:b/>
          <w:bCs/>
          <w:sz w:val="24"/>
        </w:rPr>
      </w:pPr>
      <w:r>
        <w:rPr>
          <w:rFonts w:hint="eastAsia" w:ascii="Calibri" w:hAnsi="Calibri" w:eastAsia="宋体"/>
          <w:b/>
          <w:bCs/>
          <w:sz w:val="24"/>
        </w:rPr>
        <w:t>案例5：</w:t>
      </w:r>
      <w:r>
        <w:rPr>
          <w:rFonts w:hint="eastAsia" w:ascii="宋体" w:hAnsi="宋体" w:eastAsia="宋体"/>
          <w:b/>
          <w:bCs/>
          <w:sz w:val="24"/>
        </w:rPr>
        <w:t>王某等与武某二审案【案号：(2024)京民终1374号】</w:t>
      </w:r>
    </w:p>
    <w:p w14:paraId="22F88090">
      <w:pPr>
        <w:spacing w:before="156" w:beforeLines="50" w:after="156" w:afterLines="50" w:line="360" w:lineRule="auto"/>
        <w:ind w:firstLine="480" w:firstLineChars="200"/>
        <w:rPr>
          <w:rFonts w:ascii="Calibri" w:hAnsi="Calibri" w:eastAsia="宋体"/>
          <w:b/>
          <w:bCs/>
          <w:sz w:val="24"/>
        </w:rPr>
      </w:pPr>
      <w:r>
        <w:rPr>
          <w:rFonts w:hint="eastAsia" w:ascii="Calibri" w:hAnsi="Calibri" w:eastAsia="宋体"/>
          <w:b/>
          <w:bCs/>
          <w:sz w:val="24"/>
        </w:rPr>
        <w:t>（1）争议焦点</w:t>
      </w:r>
    </w:p>
    <w:p w14:paraId="6BF3D2CF">
      <w:pPr>
        <w:spacing w:before="156" w:beforeLines="50" w:after="156" w:afterLines="50" w:line="360" w:lineRule="auto"/>
        <w:ind w:firstLine="480" w:firstLineChars="200"/>
        <w:rPr>
          <w:rFonts w:ascii="Calibri" w:hAnsi="Calibri" w:eastAsia="宋体"/>
          <w:sz w:val="24"/>
        </w:rPr>
      </w:pPr>
      <w:r>
        <w:rPr>
          <w:rFonts w:hint="eastAsia" w:ascii="Calibri" w:hAnsi="Calibri" w:eastAsia="宋体"/>
          <w:sz w:val="24"/>
        </w:rPr>
        <w:t>案涉合同签署过程中是否存在盗用公章之行为，且该情形能够阻却追加王某为被执行人。。</w:t>
      </w:r>
    </w:p>
    <w:p w14:paraId="5ED1BB91">
      <w:pPr>
        <w:spacing w:before="156" w:beforeLines="50" w:after="156" w:afterLines="50" w:line="360" w:lineRule="auto"/>
        <w:ind w:firstLine="480" w:firstLineChars="200"/>
        <w:rPr>
          <w:rFonts w:ascii="Calibri" w:hAnsi="Calibri" w:eastAsia="宋体"/>
          <w:b/>
          <w:bCs/>
          <w:sz w:val="24"/>
        </w:rPr>
      </w:pPr>
      <w:r>
        <w:rPr>
          <w:rFonts w:hint="eastAsia" w:ascii="Calibri" w:hAnsi="Calibri" w:eastAsia="宋体"/>
          <w:b/>
          <w:bCs/>
          <w:sz w:val="24"/>
        </w:rPr>
        <w:t>（2）裁判要旨</w:t>
      </w:r>
    </w:p>
    <w:p w14:paraId="2635F21A">
      <w:pPr>
        <w:spacing w:before="156" w:beforeLines="50" w:after="156" w:afterLines="50" w:line="360" w:lineRule="auto"/>
        <w:ind w:firstLine="480" w:firstLineChars="200"/>
        <w:rPr>
          <w:rFonts w:ascii="Calibri" w:hAnsi="Calibri" w:eastAsia="宋体"/>
          <w:sz w:val="24"/>
        </w:rPr>
      </w:pPr>
      <w:r>
        <w:rPr>
          <w:rFonts w:hint="eastAsia" w:ascii="Calibri" w:hAnsi="Calibri" w:eastAsia="宋体"/>
          <w:sz w:val="24"/>
        </w:rPr>
        <w:t>根据（2023）京仲案字第02496号裁决书查明事实，武*与文化公司于2022年5月14日签订协议并支付投资款，自此，文化公司即已负有对武*的合同义务。其次，根据刑事案件查明的事实，2020年至2023年间，张大军等以文化公司等公司的名义，变相吸收投资人资金6000余万元，并且相关涉案公司在指控时间段内以实施非法吸收公众存款犯罪为主要活动。娱乐公司作为股东，应当知晓文化公司的前述活动。因此，在娱乐公司转让股权时，文化公司已存在对外承担大额债务的可能性。而文化公司注册资本仅300万元，明显不具有清偿前述债务的能力。再次，在上述背景下，娱乐公司将其持有的股权零对价转让给自然人李*，明显异于正常股权交易，且娱乐公司在本案中无正当理由未到庭作出合理解释。综上，在文化公司可能存在大额债务且不具备清偿能力、娱乐公司对此应当知情的背景下，娱乐公司在武*与文化公司签署协议后月余即转让其股权，可以认定具有逃避债务的故意，应当承担相应的法律责任。一审法院判决追加娱乐公司为被执行人并对李*的出资责任承担补充责任，虽适用法律不当，但结果正确，可予维持。</w:t>
      </w:r>
    </w:p>
    <w:p w14:paraId="4F2F5204">
      <w:pPr>
        <w:spacing w:line="360" w:lineRule="auto"/>
        <w:ind w:firstLine="486"/>
      </w:pPr>
    </w:p>
    <w:p w14:paraId="1565370E">
      <w:pPr>
        <w:spacing w:before="156" w:beforeLines="50" w:after="156" w:afterLines="50" w:line="360" w:lineRule="auto"/>
        <w:ind w:firstLine="480" w:firstLineChars="200"/>
        <w:rPr>
          <w:rFonts w:ascii="Calibri" w:hAnsi="Calibri" w:eastAsia="宋体"/>
          <w:b/>
          <w:bCs/>
          <w:sz w:val="24"/>
        </w:rPr>
      </w:pPr>
      <w:r>
        <w:rPr>
          <w:rFonts w:hint="eastAsia" w:ascii="Calibri" w:hAnsi="Calibri" w:eastAsia="宋体"/>
          <w:b/>
          <w:bCs/>
          <w:sz w:val="24"/>
        </w:rPr>
        <w:t>案例6：</w:t>
      </w:r>
      <w:r>
        <w:rPr>
          <w:rFonts w:hint="eastAsia" w:ascii="宋体" w:hAnsi="宋体" w:eastAsia="宋体"/>
          <w:b/>
          <w:bCs/>
          <w:sz w:val="24"/>
        </w:rPr>
        <w:t>周某某、郭某某等追加、变更被执行人异议之诉民事二审案【案号：(2025)宁民终15号】</w:t>
      </w:r>
    </w:p>
    <w:p w14:paraId="29412643">
      <w:pPr>
        <w:spacing w:before="156" w:beforeLines="50" w:after="156" w:afterLines="50" w:line="360" w:lineRule="auto"/>
        <w:ind w:firstLine="480" w:firstLineChars="200"/>
        <w:rPr>
          <w:rFonts w:ascii="Calibri" w:hAnsi="Calibri" w:eastAsia="宋体"/>
          <w:b/>
          <w:bCs/>
          <w:sz w:val="24"/>
        </w:rPr>
      </w:pPr>
      <w:r>
        <w:rPr>
          <w:rFonts w:hint="eastAsia" w:ascii="Calibri" w:hAnsi="Calibri" w:eastAsia="宋体"/>
          <w:b/>
          <w:bCs/>
          <w:sz w:val="24"/>
        </w:rPr>
        <w:t>（1）争议焦点</w:t>
      </w:r>
    </w:p>
    <w:p w14:paraId="55E15496">
      <w:pPr>
        <w:spacing w:before="156" w:beforeLines="50" w:after="156" w:afterLines="50" w:line="360" w:lineRule="auto"/>
        <w:ind w:firstLine="480" w:firstLineChars="200"/>
        <w:rPr>
          <w:rFonts w:ascii="Calibri" w:hAnsi="Calibri" w:eastAsia="宋体"/>
          <w:sz w:val="24"/>
        </w:rPr>
      </w:pPr>
      <w:r>
        <w:rPr>
          <w:rFonts w:hint="eastAsia" w:ascii="Calibri" w:hAnsi="Calibri" w:eastAsia="宋体"/>
          <w:sz w:val="24"/>
        </w:rPr>
        <w:t>被告周某某在未出资400万元范围内，被告郭丹颖在未出资300万元范围内是否应对被告甘肃某科技有限公司不能清偿的债务承担补充赔偿责任及是否应被追加为被执行人。</w:t>
      </w:r>
    </w:p>
    <w:p w14:paraId="781A5098">
      <w:pPr>
        <w:spacing w:before="156" w:beforeLines="50" w:after="156" w:afterLines="50" w:line="360" w:lineRule="auto"/>
        <w:ind w:firstLine="480" w:firstLineChars="200"/>
        <w:rPr>
          <w:rFonts w:ascii="Calibri" w:hAnsi="Calibri" w:eastAsia="宋体"/>
          <w:b/>
          <w:bCs/>
          <w:sz w:val="24"/>
        </w:rPr>
      </w:pPr>
      <w:r>
        <w:rPr>
          <w:rFonts w:hint="eastAsia" w:ascii="Calibri" w:hAnsi="Calibri" w:eastAsia="宋体"/>
          <w:b/>
          <w:bCs/>
          <w:sz w:val="24"/>
        </w:rPr>
        <w:t>（2）裁判要旨</w:t>
      </w:r>
    </w:p>
    <w:p w14:paraId="5E920F1A">
      <w:pPr>
        <w:spacing w:before="156" w:beforeLines="50" w:after="156" w:afterLines="50" w:line="360" w:lineRule="auto"/>
        <w:ind w:firstLine="480" w:firstLineChars="200"/>
        <w:rPr>
          <w:rFonts w:ascii="Calibri" w:hAnsi="Calibri" w:eastAsia="宋体"/>
          <w:sz w:val="24"/>
        </w:rPr>
      </w:pPr>
      <w:r>
        <w:rPr>
          <w:rFonts w:hint="eastAsia" w:ascii="Calibri" w:hAnsi="Calibri" w:eastAsia="宋体"/>
          <w:sz w:val="24"/>
        </w:rPr>
        <w:t>公司应当将股东姓名或者名称向公司登记机关登记，未经登记，不得对抗第三人。周某某、郭丹颖系甘肃某科技有限公司的股东，一经登记便产生公示公信力，对外应承担相应的股东责任。周某某、郭某某主张其与王某2系股东代持关系，系双方内部约定，对宁夏XX农业有限公司不具有约束力，故其以存在股东代持关系为由拒绝承担股东责任的上诉理由不能成立。</w:t>
      </w:r>
    </w:p>
    <w:p w14:paraId="40C72C17">
      <w:pPr>
        <w:spacing w:before="156" w:beforeLines="50" w:after="156" w:afterLines="50" w:line="360" w:lineRule="auto"/>
        <w:ind w:firstLine="480" w:firstLineChars="200"/>
        <w:rPr>
          <w:rFonts w:ascii="Calibri" w:hAnsi="Calibri" w:eastAsia="宋体"/>
          <w:sz w:val="24"/>
        </w:rPr>
      </w:pPr>
      <w:r>
        <w:rPr>
          <w:rFonts w:hint="eastAsia" w:ascii="Calibri" w:hAnsi="Calibri" w:eastAsia="宋体"/>
          <w:sz w:val="24"/>
        </w:rPr>
        <w:t>关于周某某、郭某某是否应被追加为被执行人。《最高人民法院关于民事执行中变更、追加当事人若干问题的规定》第十七条规定：“作为被执行人的营利法人，财产不足以清偿生效法律文书确定的债务，申请执行人申请变更、追加未缴纳或未足额缴纳出资的股东、出资人或依 公司法规定对该出资承担连带责任的发起人为被执行人，在尚未缴纳出资的范围内依法承担责任的，人民法院应予支持。”《 最高人民法院关于适用〈中华人民共和国公司法〉若干问题的规定（三）》 第十三条第二款规定：“公司债权人请求未履行或者未全面履行出资义务的股东在未出资本息范围内对公司债务不能清偿的部分承担补充赔偿责任的，人民法院应予支持；未履行或者未全面履行出资义务的股东已经承担上述责任，其他债权人提出相同请求的，人民法院不予支持。”在注册资本认缴制下，股东对其认缴出资享有期限利益，但是如果公司作为被执行人的案件，人民法院穷尽执行措施无财产可供执行，已具备破产原因，但不申请破产的，债权人有权主张公司股东认缴出资加速到期，进而按照前述法律规定要求追加股东为被执行人并要求其在未出资范围内对公司不能清偿的债务承担补充赔偿责任。</w:t>
      </w:r>
    </w:p>
    <w:p w14:paraId="2327BAED">
      <w:pPr>
        <w:ind w:firstLine="398"/>
      </w:pPr>
    </w:p>
    <w:p w14:paraId="5DCD9FC0">
      <w:pPr>
        <w:spacing w:before="156" w:beforeLines="50" w:after="156" w:afterLines="50" w:line="360" w:lineRule="auto"/>
        <w:ind w:firstLine="480" w:firstLineChars="200"/>
        <w:rPr>
          <w:rFonts w:ascii="Calibri" w:hAnsi="Calibri" w:eastAsia="宋体"/>
          <w:b/>
          <w:bCs/>
          <w:sz w:val="24"/>
        </w:rPr>
      </w:pPr>
      <w:r>
        <w:rPr>
          <w:rFonts w:hint="eastAsia" w:ascii="Calibri" w:hAnsi="Calibri" w:eastAsia="宋体"/>
          <w:b/>
          <w:bCs/>
          <w:sz w:val="24"/>
        </w:rPr>
        <w:t>案例7：</w:t>
      </w:r>
      <w:r>
        <w:rPr>
          <w:rFonts w:hint="eastAsia" w:ascii="宋体" w:hAnsi="宋体" w:eastAsia="宋体"/>
          <w:b/>
          <w:bCs/>
          <w:sz w:val="24"/>
        </w:rPr>
        <w:t>李某、付某、宜宾市某有限公司;绵阳市某有限公司执行异议之诉二审案【案号：(2025)川民终71号】</w:t>
      </w:r>
    </w:p>
    <w:p w14:paraId="36B9ECC0">
      <w:pPr>
        <w:spacing w:before="156" w:beforeLines="50" w:after="156" w:afterLines="50" w:line="360" w:lineRule="auto"/>
        <w:ind w:firstLine="480" w:firstLineChars="200"/>
        <w:rPr>
          <w:rFonts w:ascii="Calibri" w:hAnsi="Calibri" w:eastAsia="宋体"/>
          <w:b/>
          <w:bCs/>
          <w:sz w:val="24"/>
        </w:rPr>
      </w:pPr>
      <w:r>
        <w:rPr>
          <w:rFonts w:hint="eastAsia" w:ascii="Calibri" w:hAnsi="Calibri" w:eastAsia="宋体"/>
          <w:b/>
          <w:bCs/>
          <w:sz w:val="24"/>
        </w:rPr>
        <w:t>（1）争议焦点</w:t>
      </w:r>
    </w:p>
    <w:p w14:paraId="0110A1EE">
      <w:pPr>
        <w:spacing w:before="156" w:beforeLines="50" w:after="156" w:afterLines="50" w:line="360" w:lineRule="auto"/>
        <w:ind w:firstLine="480" w:firstLineChars="200"/>
        <w:rPr>
          <w:rFonts w:ascii="Calibri" w:hAnsi="Calibri" w:eastAsia="宋体"/>
          <w:sz w:val="24"/>
        </w:rPr>
      </w:pPr>
      <w:r>
        <w:rPr>
          <w:rFonts w:hint="eastAsia" w:ascii="Calibri" w:hAnsi="Calibri" w:eastAsia="宋体"/>
          <w:sz w:val="24"/>
        </w:rPr>
        <w:t>本案是否应当追加李某、付某为（2024）川15执异10号案件的被执行人，李某、付某要求追加某甲公司为被执行人的理由是否成立。</w:t>
      </w:r>
    </w:p>
    <w:p w14:paraId="711FFDF7">
      <w:pPr>
        <w:spacing w:before="156" w:beforeLines="50" w:after="156" w:afterLines="50" w:line="360" w:lineRule="auto"/>
        <w:ind w:firstLine="480" w:firstLineChars="200"/>
        <w:rPr>
          <w:rFonts w:ascii="Calibri" w:hAnsi="Calibri" w:eastAsia="宋体"/>
          <w:b/>
          <w:bCs/>
          <w:sz w:val="24"/>
        </w:rPr>
      </w:pPr>
      <w:r>
        <w:rPr>
          <w:rFonts w:hint="eastAsia" w:ascii="Calibri" w:hAnsi="Calibri" w:eastAsia="宋体"/>
          <w:b/>
          <w:bCs/>
          <w:sz w:val="24"/>
        </w:rPr>
        <w:t>（2）裁判要旨</w:t>
      </w:r>
    </w:p>
    <w:p w14:paraId="56FBAE2B">
      <w:pPr>
        <w:spacing w:line="360" w:lineRule="auto"/>
        <w:ind w:firstLine="480" w:firstLineChars="200"/>
        <w:rPr>
          <w:rFonts w:ascii="Calibri" w:hAnsi="Calibri" w:eastAsia="宋体"/>
          <w:sz w:val="24"/>
        </w:rPr>
      </w:pPr>
      <w:r>
        <w:rPr>
          <w:rFonts w:hint="eastAsia" w:ascii="Calibri" w:hAnsi="Calibri" w:eastAsia="宋体"/>
          <w:sz w:val="24"/>
        </w:rPr>
        <w:t>《中华人民共和国公司法》第五十四条规定：“公司不能清偿到期债务的，公司或者已到期债权的债权人有权要求已认缴出资但未届出资期限的股东提前缴纳出资。”某乙公司对某丙公司享有的债权经生效裁判文书确认，一审法院采取执行措施后，发现某丙公司名下暂无可供执行的财产，并经某乙公司书面申请终结本次执行程序。某丙公司经一审法院强制执行仍未能清偿其对某乙公司的债务，一审法院由此认定某丙公司股东李某、付某出资期限应加速到期具有相应事实及法律依据。</w:t>
      </w:r>
    </w:p>
    <w:p w14:paraId="0564053D">
      <w:pPr>
        <w:spacing w:line="360" w:lineRule="auto"/>
        <w:ind w:firstLine="480" w:firstLineChars="200"/>
        <w:rPr>
          <w:rFonts w:ascii="Calibri" w:hAnsi="Calibri" w:eastAsia="宋体"/>
          <w:sz w:val="24"/>
        </w:rPr>
      </w:pPr>
      <w:r>
        <w:rPr>
          <w:rFonts w:hint="eastAsia" w:ascii="Calibri" w:hAnsi="Calibri" w:eastAsia="宋体"/>
          <w:sz w:val="24"/>
        </w:rPr>
        <w:t>李某、付某上诉主张其名下的股权已转让，本案应追加某甲公司为被执行人，且付某仅在其持有的某丙公司0.1%股权范围内承担责任。对此，本院认为，《最高人民法院关于适用〈中华人民共和国公司法〉若干问题的规定（三）》第二十六条第一款规定：“公司债权人以登记于公司登记机关的股东未履行出资义务为由，请求其对公司债务不能清偿的部分在未出资本息范围内承担补充赔偿责任，股东以其仅为名义股东而非实际出资人为由进行抗辩的，人民法院不予支持。”即便案涉《退股协议》《股权转让和代持协议》已履行完毕，由于股权转让未进行工商变更登记，李某、付某作为某丙公司工商登记的股东，仍应在其已认缴出资但未届出资期限的出资额范围内承担补充赔偿责任。</w:t>
      </w:r>
    </w:p>
    <w:p w14:paraId="6BE1D771">
      <w:pPr>
        <w:ind w:firstLine="398"/>
      </w:pPr>
    </w:p>
    <w:p w14:paraId="6F05016F">
      <w:pPr>
        <w:spacing w:before="156" w:beforeLines="50" w:after="156" w:afterLines="50" w:line="360" w:lineRule="auto"/>
        <w:ind w:firstLine="480" w:firstLineChars="200"/>
        <w:rPr>
          <w:rFonts w:ascii="Calibri" w:hAnsi="Calibri" w:eastAsia="宋体"/>
          <w:b/>
          <w:bCs/>
          <w:sz w:val="24"/>
        </w:rPr>
      </w:pPr>
      <w:r>
        <w:rPr>
          <w:rFonts w:hint="eastAsia" w:ascii="Calibri" w:hAnsi="Calibri" w:eastAsia="宋体"/>
          <w:b/>
          <w:bCs/>
          <w:sz w:val="24"/>
        </w:rPr>
        <w:t>案例8：</w:t>
      </w:r>
      <w:r>
        <w:rPr>
          <w:rFonts w:hint="eastAsia" w:ascii="宋体" w:hAnsi="宋体" w:eastAsia="宋体"/>
          <w:b/>
          <w:bCs/>
          <w:sz w:val="24"/>
        </w:rPr>
        <w:t>卢某与葛某、孚荟德（陕西）企业管理有限公司等执行异议之诉再审案【案号：(2025)陕民申2561号】</w:t>
      </w:r>
    </w:p>
    <w:p w14:paraId="7AABCCF4">
      <w:pPr>
        <w:spacing w:before="156" w:beforeLines="50" w:after="156" w:afterLines="50" w:line="360" w:lineRule="auto"/>
        <w:ind w:firstLine="480" w:firstLineChars="200"/>
        <w:rPr>
          <w:rFonts w:ascii="Calibri" w:hAnsi="Calibri" w:eastAsia="宋体"/>
          <w:b/>
          <w:bCs/>
          <w:sz w:val="24"/>
        </w:rPr>
      </w:pPr>
      <w:r>
        <w:rPr>
          <w:rFonts w:hint="eastAsia" w:ascii="Calibri" w:hAnsi="Calibri" w:eastAsia="宋体"/>
          <w:b/>
          <w:bCs/>
          <w:sz w:val="24"/>
        </w:rPr>
        <w:t>（1）争议焦点</w:t>
      </w:r>
    </w:p>
    <w:p w14:paraId="0A993C70">
      <w:pPr>
        <w:spacing w:before="156" w:beforeLines="50" w:after="156" w:afterLines="50" w:line="360" w:lineRule="auto"/>
        <w:ind w:firstLine="480" w:firstLineChars="200"/>
        <w:rPr>
          <w:rFonts w:ascii="Calibri" w:hAnsi="Calibri" w:eastAsia="宋体"/>
          <w:sz w:val="24"/>
        </w:rPr>
      </w:pPr>
      <w:r>
        <w:rPr>
          <w:rFonts w:hint="eastAsia" w:ascii="Calibri" w:hAnsi="Calibri" w:eastAsia="宋体"/>
          <w:sz w:val="24"/>
        </w:rPr>
        <w:t>孚荟德公司是否符合股东出资加速到期情形。</w:t>
      </w:r>
    </w:p>
    <w:p w14:paraId="7E965FA2">
      <w:pPr>
        <w:spacing w:before="156" w:beforeLines="50" w:after="156" w:afterLines="50" w:line="360" w:lineRule="auto"/>
        <w:ind w:firstLine="480" w:firstLineChars="200"/>
        <w:rPr>
          <w:rFonts w:ascii="Calibri" w:hAnsi="Calibri" w:eastAsia="宋体"/>
          <w:b/>
          <w:bCs/>
          <w:sz w:val="24"/>
        </w:rPr>
      </w:pPr>
      <w:r>
        <w:rPr>
          <w:rFonts w:hint="eastAsia" w:ascii="Calibri" w:hAnsi="Calibri" w:eastAsia="宋体"/>
          <w:b/>
          <w:bCs/>
          <w:sz w:val="24"/>
        </w:rPr>
        <w:t>（2）裁判要旨</w:t>
      </w:r>
    </w:p>
    <w:p w14:paraId="4D640CB2">
      <w:pPr>
        <w:adjustRightInd w:val="0"/>
        <w:snapToGrid w:val="0"/>
        <w:spacing w:line="360" w:lineRule="auto"/>
        <w:ind w:firstLine="480" w:firstLineChars="200"/>
      </w:pPr>
      <w:r>
        <w:rPr>
          <w:rFonts w:hint="eastAsia" w:ascii="Calibri" w:hAnsi="Calibri" w:eastAsia="宋体"/>
          <w:sz w:val="24"/>
        </w:rPr>
        <w:t>《 公司法》 第五十四条规定：“公司不能清偿到期债务的，公司或者已到期债权的债权人有权要求已认缴出资但未届出资期限的股东提前缴纳出资。”《 公司法》 第八十八条规定：“股东转让已认缴出资但未届出资期限的股权的，由受让人承担缴纳该出资的义务；受让人未按期足额缴纳出资的，转让人对受让人未按期缴纳的出资承担补充责任”。对于债权人来说，股东有无出资或者何时出资并不重要，重要的在于股东应在认缴出资范围内对于公司债务承担责任，这也是有限责任原则的应有之义。公司以其全部的资产对公司的债务承担责任，而公司的原始资本来自于股东认缴的出资。如股东在未实际缴纳出资时不承担补充清偿公司债务的责任，则公司的债权人的合法权利无法保障。认缴期限是股东对社会公众包括债权人所作出的出资承诺，此承诺对股东是一种约束，对相对人如债权人则是一种预期。作为 公司法重要立法目的和目标的债权人保护并不因出资约定自由化而降低标准，在认缴制下更应当强化债权人保护，允许债权人突破股东和公司之前的约定，请求股东提前出资，否则，出资的自由化只会被滥用，从而使交易安全和市场秩序遭受破坏。本案中，卢某将已认缴出资但未届出资期限的陕西孚汇德股权转让给了孚荟德公司，但陕西孚汇德作为本案的被执行人，经莲湖区人民法院执行因无可供执行财产，终结了本次执行程序，故孚荟德公司符合股东出资加速到期情形。卢某申请再审主张孚荟德公司不符合股东加速到期情形，其亦不应承担责任以及其是挂名股东，已经实际出资20万元，案涉债务与其无关的理由，因无充分证据予以证明，本院不予采信。</w:t>
      </w:r>
    </w:p>
    <w:sectPr>
      <w:pgSz w:w="11906" w:h="16838"/>
      <w:pgMar w:top="1451" w:right="1134" w:bottom="1451"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panose1 w:val="020F07020304040A0204"/>
    <w:charset w:val="00"/>
    <w:family w:val="swiss"/>
    <w:pitch w:val="default"/>
    <w:sig w:usb0="E10002FF" w:usb1="4000ACFF" w:usb2="00000009" w:usb3="00000000" w:csb0="2000019F" w:csb1="00000000"/>
  </w:font>
  <w:font w:name="DengXian">
    <w:altName w:val="汉仪中等线KW"/>
    <w:panose1 w:val="02010600030101010101"/>
    <w:charset w:val="86"/>
    <w:family w:val="auto"/>
    <w:pitch w:val="default"/>
    <w:sig w:usb0="00000000" w:usb1="00000000" w:usb2="00000016" w:usb3="00000000" w:csb0="0004000F" w:csb1="00000000"/>
  </w:font>
  <w:font w:name="汉仪书宋二KW">
    <w:panose1 w:val="00020600040101010101"/>
    <w:charset w:val="86"/>
    <w:family w:val="auto"/>
    <w:pitch w:val="default"/>
    <w:sig w:usb0="A00002BF" w:usb1="18EF7CFA" w:usb2="00000016" w:usb3="00000000" w:csb0="00040000" w:csb1="00000000"/>
  </w:font>
  <w:font w:name="汉仪中黑KW">
    <w:panose1 w:val="00020600040101010101"/>
    <w:charset w:val="86"/>
    <w:family w:val="auto"/>
    <w:pitch w:val="default"/>
    <w:sig w:usb0="A00002BF" w:usb1="18EF7CFA" w:usb2="00000016" w:usb3="00000000" w:csb0="00040000" w:csb1="00000000"/>
  </w:font>
  <w:font w:name="汉仪中等线KW">
    <w:panose1 w:val="01010104010101010101"/>
    <w:charset w:val="86"/>
    <w:family w:val="auto"/>
    <w:pitch w:val="default"/>
    <w:sig w:usb0="800002BF" w:usb1="004F7CFA" w:usb2="00000000" w:usb3="00000000" w:csb0="00040001"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5BCD08BE"/>
    <w:rsid w:val="000D007D"/>
    <w:rsid w:val="00234783"/>
    <w:rsid w:val="003E6D08"/>
    <w:rsid w:val="005671B4"/>
    <w:rsid w:val="00775A73"/>
    <w:rsid w:val="00882137"/>
    <w:rsid w:val="0090423E"/>
    <w:rsid w:val="00A05C98"/>
    <w:rsid w:val="00B263F9"/>
    <w:rsid w:val="00BC3B2A"/>
    <w:rsid w:val="00C213CA"/>
    <w:rsid w:val="00C836A7"/>
    <w:rsid w:val="00C866D3"/>
    <w:rsid w:val="00CF20CC"/>
    <w:rsid w:val="00E67C58"/>
    <w:rsid w:val="00E7016F"/>
    <w:rsid w:val="00ED0DA0"/>
    <w:rsid w:val="00F73E4C"/>
    <w:rsid w:val="00F856E4"/>
    <w:rsid w:val="0153453C"/>
    <w:rsid w:val="02B313FF"/>
    <w:rsid w:val="04AB5538"/>
    <w:rsid w:val="0635503F"/>
    <w:rsid w:val="064A5ED6"/>
    <w:rsid w:val="07F51244"/>
    <w:rsid w:val="08206641"/>
    <w:rsid w:val="091031EE"/>
    <w:rsid w:val="0971450C"/>
    <w:rsid w:val="098D27B7"/>
    <w:rsid w:val="0C364685"/>
    <w:rsid w:val="0C552FCB"/>
    <w:rsid w:val="0CBB4B8B"/>
    <w:rsid w:val="0EC71F0D"/>
    <w:rsid w:val="107B2FAF"/>
    <w:rsid w:val="10C34956"/>
    <w:rsid w:val="10FC16EA"/>
    <w:rsid w:val="117B7A3A"/>
    <w:rsid w:val="11E42DD6"/>
    <w:rsid w:val="13C07C74"/>
    <w:rsid w:val="14DC5FE6"/>
    <w:rsid w:val="15A24FC2"/>
    <w:rsid w:val="15CF79D4"/>
    <w:rsid w:val="16491459"/>
    <w:rsid w:val="164E4CC1"/>
    <w:rsid w:val="191242AE"/>
    <w:rsid w:val="197821E0"/>
    <w:rsid w:val="1AD05CA5"/>
    <w:rsid w:val="1AF26D42"/>
    <w:rsid w:val="1B5F46D3"/>
    <w:rsid w:val="1BDC7FC4"/>
    <w:rsid w:val="1CFF2872"/>
    <w:rsid w:val="1F2C6132"/>
    <w:rsid w:val="1F784B5D"/>
    <w:rsid w:val="21C0196E"/>
    <w:rsid w:val="2217457B"/>
    <w:rsid w:val="23E70F73"/>
    <w:rsid w:val="240B2444"/>
    <w:rsid w:val="257C268E"/>
    <w:rsid w:val="25AF6361"/>
    <w:rsid w:val="295A2419"/>
    <w:rsid w:val="29E56D4B"/>
    <w:rsid w:val="2F4607D4"/>
    <w:rsid w:val="30872E52"/>
    <w:rsid w:val="30E46A82"/>
    <w:rsid w:val="313C05D6"/>
    <w:rsid w:val="321502BA"/>
    <w:rsid w:val="3392223A"/>
    <w:rsid w:val="33EF3043"/>
    <w:rsid w:val="34313AAC"/>
    <w:rsid w:val="37D84772"/>
    <w:rsid w:val="38BB3F20"/>
    <w:rsid w:val="3B3E74C2"/>
    <w:rsid w:val="3BED055F"/>
    <w:rsid w:val="3D033860"/>
    <w:rsid w:val="3F3B31CA"/>
    <w:rsid w:val="3F454604"/>
    <w:rsid w:val="40B26D12"/>
    <w:rsid w:val="41A13939"/>
    <w:rsid w:val="421F7A8A"/>
    <w:rsid w:val="429630CC"/>
    <w:rsid w:val="42A32262"/>
    <w:rsid w:val="435B43F6"/>
    <w:rsid w:val="4410023A"/>
    <w:rsid w:val="46C16CF1"/>
    <w:rsid w:val="46E63BC7"/>
    <w:rsid w:val="477140C4"/>
    <w:rsid w:val="477C493B"/>
    <w:rsid w:val="489F12B3"/>
    <w:rsid w:val="48B102D4"/>
    <w:rsid w:val="494A174C"/>
    <w:rsid w:val="4BAD69B7"/>
    <w:rsid w:val="4CD906A3"/>
    <w:rsid w:val="4D695962"/>
    <w:rsid w:val="519A53EE"/>
    <w:rsid w:val="519B66F3"/>
    <w:rsid w:val="53A909D1"/>
    <w:rsid w:val="55826059"/>
    <w:rsid w:val="593D72D5"/>
    <w:rsid w:val="595D6B51"/>
    <w:rsid w:val="5BCD08BE"/>
    <w:rsid w:val="5CDF39EC"/>
    <w:rsid w:val="5DCD5873"/>
    <w:rsid w:val="5E5B41DD"/>
    <w:rsid w:val="60791F08"/>
    <w:rsid w:val="62E5554B"/>
    <w:rsid w:val="63344891"/>
    <w:rsid w:val="64124205"/>
    <w:rsid w:val="66C0619B"/>
    <w:rsid w:val="6A02377A"/>
    <w:rsid w:val="6A3761D2"/>
    <w:rsid w:val="6A6D6639"/>
    <w:rsid w:val="6B90693A"/>
    <w:rsid w:val="6C560FEA"/>
    <w:rsid w:val="6D5737F1"/>
    <w:rsid w:val="6DF56252"/>
    <w:rsid w:val="6F8F6914"/>
    <w:rsid w:val="70951A45"/>
    <w:rsid w:val="70CE181E"/>
    <w:rsid w:val="724E2F94"/>
    <w:rsid w:val="74352E35"/>
    <w:rsid w:val="75D373DE"/>
    <w:rsid w:val="75F95116"/>
    <w:rsid w:val="77A30552"/>
    <w:rsid w:val="782E39BA"/>
    <w:rsid w:val="784F0989"/>
    <w:rsid w:val="798504CD"/>
    <w:rsid w:val="7A7725FA"/>
    <w:rsid w:val="7A7C6425"/>
    <w:rsid w:val="7AE83ABA"/>
    <w:rsid w:val="7BE94A5A"/>
    <w:rsid w:val="7D9F255D"/>
    <w:rsid w:val="7DF527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DengXian" w:hAnsi="DengXian" w:eastAsia="DengXian" w:cs="黑体"/>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8"/>
    <w:qFormat/>
    <w:uiPriority w:val="0"/>
    <w:pPr>
      <w:tabs>
        <w:tab w:val="center" w:pos="4153"/>
        <w:tab w:val="right" w:pos="8306"/>
      </w:tabs>
      <w:snapToGrid w:val="0"/>
      <w:jc w:val="left"/>
    </w:pPr>
    <w:rPr>
      <w:sz w:val="18"/>
      <w:szCs w:val="18"/>
    </w:rPr>
  </w:style>
  <w:style w:type="paragraph" w:styleId="3">
    <w:name w:val="header"/>
    <w:basedOn w:val="1"/>
    <w:link w:val="7"/>
    <w:qFormat/>
    <w:uiPriority w:val="0"/>
    <w:pPr>
      <w:tabs>
        <w:tab w:val="center" w:pos="4153"/>
        <w:tab w:val="right" w:pos="8306"/>
      </w:tabs>
      <w:snapToGrid w:val="0"/>
      <w:jc w:val="center"/>
    </w:pPr>
    <w:rPr>
      <w:sz w:val="18"/>
      <w:szCs w:val="18"/>
    </w:rPr>
  </w:style>
  <w:style w:type="paragraph" w:customStyle="1" w:styleId="6">
    <w:name w:val="列表段落1"/>
    <w:basedOn w:val="1"/>
    <w:qFormat/>
    <w:uiPriority w:val="34"/>
    <w:pPr>
      <w:ind w:left="720"/>
      <w:contextualSpacing/>
    </w:pPr>
  </w:style>
  <w:style w:type="character" w:customStyle="1" w:styleId="7">
    <w:name w:val="页眉 字符"/>
    <w:basedOn w:val="5"/>
    <w:link w:val="3"/>
    <w:qFormat/>
    <w:uiPriority w:val="0"/>
    <w:rPr>
      <w:rFonts w:ascii="DengXian" w:hAnsi="DengXian" w:eastAsia="DengXian" w:cs="黑体"/>
      <w:kern w:val="2"/>
      <w:sz w:val="18"/>
      <w:szCs w:val="18"/>
    </w:rPr>
  </w:style>
  <w:style w:type="character" w:customStyle="1" w:styleId="8">
    <w:name w:val="页脚 字符"/>
    <w:basedOn w:val="5"/>
    <w:link w:val="2"/>
    <w:qFormat/>
    <w:uiPriority w:val="0"/>
    <w:rPr>
      <w:rFonts w:ascii="DengXian" w:hAnsi="DengXian" w:eastAsia="DengXian" w:cs="黑体"/>
      <w:kern w:val="2"/>
      <w:sz w:val="18"/>
      <w:szCs w:val="18"/>
    </w:rPr>
  </w:style>
  <w:style w:type="paragraph" w:styleId="9">
    <w:name w:val="List Paragraph"/>
    <w:basedOn w:val="1"/>
    <w:qFormat/>
    <w:uiPriority w:val="34"/>
    <w:pPr>
      <w:spacing w:after="160" w:line="278" w:lineRule="auto"/>
      <w:ind w:firstLine="420" w:firstLineChars="200"/>
      <w:jc w:val="left"/>
    </w:pPr>
    <w:rPr>
      <w:rFonts w:asciiTheme="minorHAnsi" w:hAnsiTheme="minorHAnsi" w:eastAsiaTheme="minorEastAsia" w:cstheme="minorBidi"/>
      <w:sz w:val="22"/>
      <w14:ligatures w14:val="standardContextual"/>
    </w:rPr>
  </w:style>
  <w:style w:type="paragraph" w:customStyle="1" w:styleId="10">
    <w:name w:val="修订1"/>
    <w:hidden/>
    <w:semiHidden/>
    <w:qFormat/>
    <w:uiPriority w:val="99"/>
    <w:rPr>
      <w:rFonts w:ascii="DengXian" w:hAnsi="DengXian" w:eastAsia="DengXian" w:cs="黑体"/>
      <w:kern w:val="2"/>
      <w:sz w:val="21"/>
      <w:szCs w:val="24"/>
      <w:lang w:val="en-US" w:eastAsia="zh-CN" w:bidi="ar-SA"/>
    </w:rPr>
  </w:style>
  <w:style w:type="paragraph" w:customStyle="1" w:styleId="11">
    <w:name w:val="p"/>
    <w:qFormat/>
    <w:uiPriority w:val="0"/>
    <w:pPr>
      <w:spacing w:line="390" w:lineRule="atLeast"/>
      <w:ind w:firstLine="420"/>
      <w:textAlignment w:val="center"/>
    </w:pPr>
    <w:rPr>
      <w:rFonts w:ascii="Times New Roman" w:hAnsi="Times New Roman" w:eastAsia="Times New Roman" w:cs="Times New Roman"/>
      <w:sz w:val="24"/>
      <w:szCs w:val="24"/>
      <w:lang w:val="en-US" w:eastAsia="zh-CN" w:bidi="ar-SA"/>
    </w:rPr>
  </w:style>
  <w:style w:type="character" w:customStyle="1" w:styleId="12">
    <w:name w:val="span_sect2Title"/>
    <w:qFormat/>
    <w:uiPriority w:val="0"/>
    <w:rPr>
      <w:b/>
      <w:bCs/>
    </w:rPr>
  </w:style>
  <w:style w:type="character" w:customStyle="1" w:styleId="13">
    <w:name w:val="any"/>
    <w:qFormat/>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1475</Words>
  <Characters>8408</Characters>
  <Lines>70</Lines>
  <Paragraphs>19</Paragraphs>
  <TotalTime>15</TotalTime>
  <ScaleCrop>false</ScaleCrop>
  <LinksUpToDate>false</LinksUpToDate>
  <CharactersWithSpaces>9864</CharactersWithSpaces>
  <Application>WPS Office_12.1.22553.22553_F1E327BC-269C-435d-A152-05C5408002CA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2025-06-25T14:20:00Z</dcterms:created>
  <dc:creator>夏律师</dc:creator>
  <cp:lastModifiedBy>李霏雨</cp:lastModifiedBy>
  <dcterms:modified xsi:type="dcterms:W3CDTF">2025-10-30T15:06:10Z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2052-12.1.22553.22553</vt:lpwstr>
  </property>
  <property fmtid="{D5CDD505-2E9C-101B-9397-08002B2CF9AE}" pid="3" name="ICV">
    <vt:lpwstr>43DBFF8DDC83FD3C620E03696068C519_43</vt:lpwstr>
  </property>
  <property fmtid="{D5CDD505-2E9C-101B-9397-08002B2CF9AE}" pid="4" name="KSOTemplateDocerSaveRecord">
    <vt:lpwstr>eyJoZGlkIjoiM2JjYTg3MjhkNTZiYmFjMTg4MjA1YWI3OGIxMmEzNTEiLCJ1c2VySWQiOiI1NjI5ODU2MjgifQ==</vt:lpwstr>
  </property>
</Properties>
</file>